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media/image2.png" ContentType="image/png"/>
  <Override PartName="/word/fontTable.xml" ContentType="application/vnd.openxmlformats-officedocument.wordprocessingml.fontTable+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1"/>
        <w:spacing w:lineRule="auto" w:line="276"/>
        <w:ind w:right="-142" w:hanging="2"/>
        <w:jc w:val="center"/>
        <w:rPr>
          <w:rFonts w:ascii="Arial" w:hAnsi="Arial" w:eastAsia="Arial" w:cs="Arial"/>
          <w:sz w:val="22"/>
          <w:szCs w:val="22"/>
        </w:rPr>
      </w:pPr>
      <w:r>
        <w:rPr>
          <w:rFonts w:eastAsia="Arial" w:cs="Arial" w:ascii="Arial" w:hAnsi="Arial"/>
          <w:b/>
          <w:bCs/>
          <w:sz w:val="22"/>
          <w:szCs w:val="22"/>
        </w:rPr>
        <w:t>EL SECRETARIO DISTRITAL  DE CULTURA, RECREACIÓN Y DEPORTE</w:t>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LOnormal"/>
        <w:spacing w:lineRule="auto" w:line="276"/>
        <w:ind w:right="-142" w:hanging="2"/>
        <w:jc w:val="both"/>
        <w:rPr>
          <w:rFonts w:ascii="Arial" w:hAnsi="Arial" w:cs="Arial"/>
          <w:sz w:val="22"/>
          <w:szCs w:val="22"/>
        </w:rPr>
      </w:pPr>
      <w:r>
        <w:rPr>
          <w:rFonts w:eastAsia="Arial" w:cs="Arial" w:ascii="Arial" w:hAnsi="Arial"/>
          <w:sz w:val="22"/>
          <w:szCs w:val="22"/>
        </w:rPr>
        <w:t xml:space="preserve"> </w:t>
      </w:r>
      <w:r>
        <w:rPr>
          <w:rFonts w:eastAsia="Arial" w:cs="Arial" w:ascii="Arial" w:hAnsi="Arial"/>
          <w:sz w:val="22"/>
          <w:szCs w:val="22"/>
        </w:rPr>
        <w:t>En uso de sus facultades reglamentarias  y en especial las conferidas en los artículos 152 y 161 del  Decreto Distrital 670 de 2025 ¨</w:t>
      </w:r>
      <w:r>
        <w:rPr>
          <w:rFonts w:eastAsia="Arial" w:cs="Arial" w:ascii="Arial" w:hAnsi="Arial"/>
          <w:i/>
          <w:iCs/>
          <w:sz w:val="22"/>
          <w:szCs w:val="22"/>
        </w:rPr>
        <w:t>Por medio del cual se expide el Decreto Único Distrital de Ordenamiento Territorial de Bogotá¨ y  e</w:t>
      </w:r>
      <w:r>
        <w:rPr>
          <w:rFonts w:eastAsia="Arial" w:cs="Arial" w:ascii="Arial" w:hAnsi="Arial"/>
          <w:sz w:val="22"/>
          <w:szCs w:val="22"/>
        </w:rPr>
        <w:t xml:space="preserve">l numeral 1.3 del  artículo 10 de la </w:t>
      </w:r>
      <w:r>
        <w:rPr>
          <w:rFonts w:eastAsia="Arial" w:cs="Arial" w:ascii="Arial" w:hAnsi="Arial"/>
          <w:b/>
          <w:bCs/>
          <w:i/>
          <w:iCs/>
          <w:sz w:val="22"/>
          <w:szCs w:val="22"/>
        </w:rPr>
        <w:t>"</w:t>
      </w:r>
      <w:r>
        <w:rPr>
          <w:rFonts w:eastAsia="Arial" w:cs="Arial" w:ascii="Arial" w:hAnsi="Arial"/>
          <w:sz w:val="22"/>
          <w:szCs w:val="22"/>
        </w:rPr>
        <w:t>Resolución 500 del 20 de junio de 2025,</w:t>
      </w:r>
      <w:r>
        <w:rPr>
          <w:rFonts w:eastAsia="Arial" w:cs="Arial" w:ascii="Arial" w:hAnsi="Arial"/>
          <w:i/>
          <w:iCs/>
          <w:sz w:val="22"/>
          <w:szCs w:val="22"/>
        </w:rPr>
        <w:t xml:space="preserve"> “Por la cual se adopta el protocolo para el aprovechamiento económico sin retribución, durante la realización de actividades de los Hacedores/as de Oficios Artesanales en el espacio público de Bogotá, se establece el procedimiento para el permiso y se dictan otras disposiciones” </w:t>
      </w:r>
      <w:r>
        <w:rPr>
          <w:rFonts w:eastAsia="Arial" w:cs="Arial" w:ascii="Arial" w:hAnsi="Arial"/>
          <w:sz w:val="22"/>
          <w:szCs w:val="22"/>
        </w:rPr>
        <w:t>y</w:t>
      </w:r>
    </w:p>
    <w:p>
      <w:pPr>
        <w:pStyle w:val="LOnormal1"/>
        <w:spacing w:lineRule="auto" w:line="276"/>
        <w:ind w:right="-142" w:hanging="2"/>
        <w:jc w:val="both"/>
        <w:rPr>
          <w:rFonts w:ascii="Arial" w:hAnsi="Arial" w:cs="Arial"/>
          <w:sz w:val="22"/>
          <w:szCs w:val="22"/>
        </w:rPr>
      </w:pPr>
      <w:r>
        <w:rPr>
          <w:rFonts w:cs="Arial" w:ascii="Arial" w:hAnsi="Arial"/>
          <w:sz w:val="22"/>
          <w:szCs w:val="22"/>
        </w:rPr>
      </w:r>
    </w:p>
    <w:p>
      <w:pPr>
        <w:pStyle w:val="LOnormal1"/>
        <w:spacing w:lineRule="auto" w:line="276"/>
        <w:ind w:right="-142" w:hanging="2"/>
        <w:jc w:val="both"/>
        <w:rPr>
          <w:rFonts w:ascii="Arial" w:hAnsi="Arial" w:eastAsia="Arial" w:cs="Arial"/>
          <w:i/>
          <w:i/>
          <w:iCs/>
          <w:sz w:val="22"/>
          <w:szCs w:val="22"/>
        </w:rPr>
      </w:pPr>
      <w:r>
        <w:rPr>
          <w:rFonts w:eastAsia="Arial" w:cs="Arial" w:ascii="Arial" w:hAnsi="Arial"/>
          <w:i/>
          <w:iCs/>
          <w:sz w:val="22"/>
          <w:szCs w:val="22"/>
        </w:rPr>
      </w:r>
    </w:p>
    <w:p>
      <w:pPr>
        <w:pStyle w:val="LOnormal1"/>
        <w:spacing w:lineRule="auto" w:line="276"/>
        <w:rPr>
          <w:rFonts w:ascii="Arial" w:hAnsi="Arial" w:eastAsia="Arial" w:cs="Arial"/>
          <w:sz w:val="22"/>
          <w:szCs w:val="22"/>
        </w:rPr>
      </w:pPr>
      <w:r>
        <w:rPr>
          <w:rFonts w:eastAsia="Arial" w:cs="Arial" w:ascii="Arial" w:hAnsi="Arial"/>
          <w:sz w:val="22"/>
          <w:szCs w:val="22"/>
        </w:rPr>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t xml:space="preserve">CONSIDERANDO QUE : </w:t>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t xml:space="preserve">El Acuerdo </w:t>
      </w:r>
      <w:r>
        <w:rPr>
          <w:rFonts w:eastAsia="Arial" w:cs="Arial" w:ascii="Arial" w:hAnsi="Arial"/>
          <w:i/>
          <w:iCs/>
          <w:sz w:val="22"/>
          <w:szCs w:val="22"/>
        </w:rPr>
        <w:t xml:space="preserve">257 </w:t>
      </w:r>
      <w:r>
        <w:rPr>
          <w:rFonts w:eastAsia="Arial" w:cs="Arial" w:ascii="Arial" w:hAnsi="Arial"/>
          <w:sz w:val="22"/>
          <w:szCs w:val="22"/>
        </w:rPr>
        <w:t xml:space="preserve">de 2006 </w:t>
      </w:r>
      <w:r>
        <w:rPr>
          <w:rFonts w:eastAsia="Arial" w:cs="Arial" w:ascii="Arial" w:hAnsi="Arial"/>
          <w:i/>
          <w:iCs/>
          <w:sz w:val="22"/>
          <w:szCs w:val="22"/>
        </w:rPr>
        <w:t xml:space="preserve">"Por el cual se dictan normas básicas sobre la estructura, organización y funcionamiento de los organismos y de las entidades de Bogotá, Distrito Capital, y se expiden otras disposiciones", </w:t>
      </w:r>
      <w:r>
        <w:rPr>
          <w:rFonts w:eastAsia="Arial" w:cs="Arial" w:ascii="Arial" w:hAnsi="Arial"/>
          <w:sz w:val="22"/>
          <w:szCs w:val="22"/>
        </w:rPr>
        <w:t>en su artículo 94 establece la naturaleza, objeto y funciones básicas de la Secretaría Distrital de Cultura, Recreación y Deporte, que tiene por objeto</w:t>
      </w:r>
      <w:r>
        <w:rPr>
          <w:rFonts w:eastAsia="Arial" w:cs="Arial" w:ascii="Arial" w:hAnsi="Arial"/>
          <w:i/>
          <w:iCs/>
          <w:sz w:val="22"/>
          <w:szCs w:val="22"/>
        </w:rPr>
        <w:t xml:space="preserve"> "orienta y liderar la formulación concertada de política, planes y programas en los campos cultural, patrimonial, recreativo y deportivo del Distrito Capital en coordinación con la Secretaría Distrital de Planeación y con la participación de las entidades a ella adscritas y vinculadas y la sociedad civil." </w:t>
      </w:r>
    </w:p>
    <w:p>
      <w:pPr>
        <w:pStyle w:val="LOnormal1"/>
        <w:spacing w:lineRule="auto" w:line="276"/>
        <w:jc w:val="both"/>
        <w:rPr>
          <w:rFonts w:ascii="Arial" w:hAnsi="Arial" w:eastAsia="Arial" w:cs="Arial"/>
          <w:b/>
          <w:b/>
          <w:bCs/>
          <w:sz w:val="22"/>
          <w:szCs w:val="22"/>
        </w:rPr>
      </w:pPr>
      <w:r>
        <w:rPr>
          <w:rFonts w:eastAsia="Arial" w:cs="Arial" w:ascii="Arial" w:hAnsi="Arial"/>
          <w:b/>
          <w:bCs/>
          <w:sz w:val="22"/>
          <w:szCs w:val="22"/>
        </w:rPr>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t>El Decreto Distrital 649 de 2025 “</w:t>
      </w:r>
      <w:r>
        <w:rPr>
          <w:rFonts w:eastAsia="Arial" w:cs="Arial" w:ascii="Arial" w:hAnsi="Arial"/>
          <w:i/>
          <w:iCs/>
          <w:sz w:val="22"/>
          <w:szCs w:val="22"/>
        </w:rPr>
        <w:t>Por el cual se expide el Decreto Único del sector Cultura, Recreación y Deporte”</w:t>
      </w:r>
      <w:r>
        <w:rPr>
          <w:rFonts w:eastAsia="Arial" w:cs="Arial" w:ascii="Arial" w:hAnsi="Arial"/>
          <w:sz w:val="22"/>
          <w:szCs w:val="22"/>
        </w:rPr>
        <w:t>, en el artículo 6, establece la estructura de la Secretaría Distrital de Cultura, Recreación y Deporte.</w:t>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t>El Decreto Distrital 670 de 2025  “Por</w:t>
      </w:r>
      <w:r>
        <w:rPr>
          <w:rFonts w:eastAsia="Arial" w:cs="Arial" w:ascii="Arial" w:hAnsi="Arial"/>
          <w:i/>
          <w:iCs/>
          <w:sz w:val="22"/>
          <w:szCs w:val="22"/>
        </w:rPr>
        <w:t xml:space="preserve"> medio del cual se expide el Decreto Único Distrital de Ordenamiento Territorial de Bogotá”</w:t>
      </w:r>
      <w:r>
        <w:rPr>
          <w:rFonts w:eastAsia="Arial" w:cs="Arial" w:ascii="Arial" w:hAnsi="Arial"/>
          <w:sz w:val="22"/>
          <w:szCs w:val="22"/>
        </w:rPr>
        <w:t>, en su artículo 152 estableció las actividades de aprovechamiento económico permitidas en el espacio público; definió cada una, y en particular la denominada “hacedores de oficios artesanales en el espacio público” así:</w:t>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r>
    </w:p>
    <w:tbl>
      <w:tblPr>
        <w:tblW w:w="8975" w:type="dxa"/>
        <w:jc w:val="left"/>
        <w:tblInd w:w="0" w:type="dxa"/>
        <w:tblCellMar>
          <w:top w:w="0" w:type="dxa"/>
          <w:left w:w="108" w:type="dxa"/>
          <w:bottom w:w="0" w:type="dxa"/>
          <w:right w:w="108" w:type="dxa"/>
        </w:tblCellMar>
        <w:tblLook w:firstRow="0" w:noVBand="0" w:lastRow="0" w:firstColumn="0" w:lastColumn="0" w:noHBand="0" w:val="0000"/>
      </w:tblPr>
      <w:tblGrid>
        <w:gridCol w:w="3388"/>
        <w:gridCol w:w="5586"/>
      </w:tblGrid>
      <w:tr>
        <w:trPr/>
        <w:tc>
          <w:tcPr>
            <w:tcW w:w="3388" w:type="dxa"/>
            <w:tcBorders>
              <w:top w:val="single" w:sz="4" w:space="0" w:color="000000"/>
              <w:left w:val="single" w:sz="4" w:space="0" w:color="000000"/>
              <w:bottom w:val="single" w:sz="4" w:space="0" w:color="000000"/>
            </w:tcBorders>
            <w:shd w:fill="auto" w:val="clear"/>
          </w:tcPr>
          <w:p>
            <w:pPr>
              <w:pStyle w:val="LOnormal1"/>
              <w:spacing w:lineRule="auto" w:line="276" w:before="0" w:after="120"/>
              <w:jc w:val="center"/>
              <w:rPr>
                <w:rFonts w:ascii="Arial" w:hAnsi="Arial" w:eastAsia="Arial" w:cs="Arial"/>
                <w:b/>
                <w:b/>
                <w:bCs/>
                <w:sz w:val="22"/>
                <w:szCs w:val="22"/>
              </w:rPr>
            </w:pPr>
            <w:r>
              <w:rPr>
                <w:rFonts w:eastAsia="Arial" w:cs="Arial" w:ascii="Arial" w:hAnsi="Arial"/>
                <w:b/>
                <w:bCs/>
                <w:sz w:val="22"/>
                <w:szCs w:val="22"/>
              </w:rPr>
              <w:t>TIPO DE ACTIVIDAD</w:t>
            </w:r>
          </w:p>
        </w:tc>
        <w:tc>
          <w:tcPr>
            <w:tcW w:w="5586" w:type="dxa"/>
            <w:tcBorders>
              <w:top w:val="single" w:sz="4" w:space="0" w:color="000000"/>
              <w:left w:val="single" w:sz="4" w:space="0" w:color="000000"/>
              <w:bottom w:val="single" w:sz="4" w:space="0" w:color="000000"/>
              <w:right w:val="single" w:sz="4" w:space="0" w:color="000000"/>
            </w:tcBorders>
            <w:shd w:fill="auto" w:val="clear"/>
          </w:tcPr>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t>DEFINICIÓN</w:t>
            </w:r>
          </w:p>
        </w:tc>
      </w:tr>
      <w:tr>
        <w:trPr/>
        <w:tc>
          <w:tcPr>
            <w:tcW w:w="3388" w:type="dxa"/>
            <w:tcBorders>
              <w:left w:val="single" w:sz="4" w:space="0" w:color="000000"/>
              <w:bottom w:val="single" w:sz="4" w:space="0" w:color="000000"/>
            </w:tcBorders>
            <w:shd w:fill="auto" w:val="clear"/>
          </w:tcPr>
          <w:p>
            <w:pPr>
              <w:pStyle w:val="LOnormal1"/>
              <w:tabs>
                <w:tab w:val="clear" w:pos="720"/>
                <w:tab w:val="left" w:pos="6507" w:leader="none"/>
              </w:tabs>
              <w:spacing w:lineRule="auto" w:line="276"/>
              <w:ind w:left="170" w:right="-113" w:hanging="0"/>
              <w:rPr>
                <w:rFonts w:ascii="Arial" w:hAnsi="Arial" w:eastAsia="Arial" w:cs="Arial"/>
                <w:sz w:val="22"/>
                <w:szCs w:val="22"/>
              </w:rPr>
            </w:pPr>
            <w:r>
              <w:rPr>
                <w:rFonts w:eastAsia="Arial" w:cs="Arial" w:ascii="Arial" w:hAnsi="Arial"/>
                <w:i/>
                <w:iCs/>
                <w:sz w:val="22"/>
                <w:szCs w:val="22"/>
              </w:rPr>
              <w:t>HACEDORES DE OFICIOS ARTESANALES EN EL ESPACIO PÚBLICO</w:t>
            </w:r>
          </w:p>
        </w:tc>
        <w:tc>
          <w:tcPr>
            <w:tcW w:w="5586" w:type="dxa"/>
            <w:tcBorders>
              <w:left w:val="single" w:sz="4" w:space="0" w:color="000000"/>
              <w:bottom w:val="single" w:sz="4" w:space="0" w:color="000000"/>
              <w:right w:val="single" w:sz="4" w:space="0" w:color="000000"/>
            </w:tcBorders>
            <w:shd w:fill="auto" w:val="clear"/>
          </w:tcPr>
          <w:p>
            <w:pPr>
              <w:pStyle w:val="LOnormal1"/>
              <w:tabs>
                <w:tab w:val="clear" w:pos="720"/>
                <w:tab w:val="left" w:pos="6507" w:leader="none"/>
              </w:tabs>
              <w:spacing w:lineRule="auto" w:line="276"/>
              <w:ind w:left="57" w:right="-170" w:hanging="0"/>
              <w:jc w:val="both"/>
              <w:rPr>
                <w:rFonts w:ascii="Arial" w:hAnsi="Arial" w:eastAsia="Arial" w:cs="Arial"/>
                <w:sz w:val="22"/>
                <w:szCs w:val="22"/>
              </w:rPr>
            </w:pPr>
            <w:r>
              <w:rPr>
                <w:rFonts w:eastAsia="Arial" w:cs="Arial" w:ascii="Arial" w:hAnsi="Arial"/>
                <w:i/>
                <w:iCs/>
                <w:sz w:val="22"/>
                <w:szCs w:val="22"/>
              </w:rPr>
              <w:t>Ocupación temporal del espacio público para la comercialización de objetos artesanales de carácter patrimonial, definidos en el marco del sistema de arte, cultura y patrimonio que generan un valor cultural agregado al espacio público, realizadas por personas naturales o grupos de hasta 2 personas o el número de integrantes que defina la Secretaría de Cultura, Recreación y Deporte.</w:t>
            </w:r>
          </w:p>
          <w:p>
            <w:pPr>
              <w:pStyle w:val="LOnormal1"/>
              <w:tabs>
                <w:tab w:val="clear" w:pos="720"/>
                <w:tab w:val="left" w:pos="6507" w:leader="none"/>
              </w:tabs>
              <w:spacing w:lineRule="auto" w:line="276"/>
              <w:ind w:right="-142" w:hanging="0"/>
              <w:jc w:val="both"/>
              <w:rPr>
                <w:rFonts w:ascii="Arial" w:hAnsi="Arial" w:eastAsia="Arial" w:cs="Arial"/>
                <w:i/>
                <w:i/>
                <w:iCs/>
                <w:sz w:val="22"/>
                <w:szCs w:val="22"/>
              </w:rPr>
            </w:pPr>
            <w:r>
              <w:rPr>
                <w:rFonts w:eastAsia="Arial" w:cs="Arial" w:ascii="Arial" w:hAnsi="Arial"/>
                <w:i/>
                <w:iCs/>
                <w:sz w:val="22"/>
                <w:szCs w:val="22"/>
              </w:rPr>
            </w:r>
          </w:p>
        </w:tc>
      </w:tr>
    </w:tbl>
    <w:p>
      <w:pPr>
        <w:pStyle w:val="LOnormal1"/>
        <w:tabs>
          <w:tab w:val="clear" w:pos="720"/>
          <w:tab w:val="left" w:pos="6507" w:leader="none"/>
        </w:tabs>
        <w:spacing w:lineRule="auto" w:line="276"/>
        <w:ind w:right="-142" w:hanging="2"/>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6507" w:leader="none"/>
        </w:tabs>
        <w:spacing w:lineRule="auto" w:line="276"/>
        <w:ind w:right="-142" w:hanging="0"/>
        <w:jc w:val="both"/>
        <w:rPr>
          <w:rFonts w:ascii="Arial" w:hAnsi="Arial" w:eastAsia="Arial" w:cs="Arial"/>
          <w:sz w:val="22"/>
          <w:szCs w:val="22"/>
        </w:rPr>
      </w:pPr>
      <w:r>
        <w:rPr>
          <w:rFonts w:eastAsia="Arial" w:cs="Arial" w:ascii="Arial" w:hAnsi="Arial"/>
          <w:sz w:val="22"/>
          <w:szCs w:val="22"/>
        </w:rPr>
        <w:t>Asi mismo, el mencionado Decreto Distrital 670 de 2025 determinó que las entidades gestoras del aprovechamiento económico del espacio público, son las encargadas de emitir las autorizaciones para el desarrollo de actividades con y sin aprovechamiento económico en el espacio público, de acuerdo con su misión y funciones, asignando la competencia a la Secretaría Distrital de Cultura, Recreación y Deporte (SCRD) como entidad gestora de</w:t>
      </w:r>
      <w:r>
        <w:rPr>
          <w:rFonts w:eastAsia="Arial" w:cs="Arial" w:ascii="Arial" w:hAnsi="Arial"/>
          <w:i/>
          <w:iCs/>
          <w:sz w:val="22"/>
          <w:szCs w:val="22"/>
        </w:rPr>
        <w:t xml:space="preserve"> “HACEDORES DE OFICIOS ARTESANALES EN EL ESPACIO PÚBLICO”</w:t>
      </w:r>
      <w:r>
        <w:rPr>
          <w:rFonts w:eastAsia="Arial" w:cs="Arial" w:ascii="Arial" w:hAnsi="Arial"/>
          <w:sz w:val="22"/>
          <w:szCs w:val="22"/>
        </w:rPr>
        <w:t xml:space="preserve">.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jc w:val="both"/>
        <w:rPr>
          <w:rFonts w:ascii="Arial" w:hAnsi="Arial" w:eastAsia="Arial" w:cs="Arial"/>
          <w:sz w:val="22"/>
          <w:szCs w:val="22"/>
        </w:rPr>
      </w:pPr>
      <w:r>
        <w:rPr>
          <w:rFonts w:eastAsia="Arial" w:cs="Arial" w:ascii="Arial" w:hAnsi="Arial"/>
          <w:sz w:val="22"/>
          <w:szCs w:val="22"/>
        </w:rPr>
        <w:t xml:space="preserve">La  Secretaría de Cultura, Recreación y Deporte (SCRD), como entidad gestora expidió la Resolución 500 de 2025, </w:t>
      </w:r>
      <w:r>
        <w:rPr>
          <w:rFonts w:eastAsia="Arial" w:cs="Arial" w:ascii="Arial" w:hAnsi="Arial"/>
          <w:i/>
          <w:iCs/>
          <w:sz w:val="22"/>
          <w:szCs w:val="22"/>
        </w:rPr>
        <w:t>Por la cual se adopta el protocolo para el aprovechamiento económico sin retribución, durante la realización de actividades de los Hacedores/as de Oficios Artesanales en el espacio público de Bogotá, se establece el procedimiento para el permiso y se dictan otras disposiciones</w:t>
      </w:r>
      <w:r>
        <w:rPr>
          <w:rFonts w:eastAsia="Arial" w:cs="Arial" w:ascii="Arial" w:hAnsi="Arial"/>
          <w:sz w:val="22"/>
          <w:szCs w:val="22"/>
        </w:rPr>
        <w:t xml:space="preserve">.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
        <w:spacing w:lineRule="auto" w:line="276"/>
        <w:jc w:val="both"/>
        <w:rPr>
          <w:rFonts w:ascii="Arial" w:hAnsi="Arial" w:cs="Arial"/>
          <w:sz w:val="22"/>
          <w:szCs w:val="22"/>
        </w:rPr>
      </w:pPr>
      <w:r>
        <w:rPr>
          <w:rFonts w:eastAsia="Arial" w:cs="Arial" w:ascii="Arial" w:hAnsi="Arial"/>
          <w:sz w:val="22"/>
          <w:szCs w:val="22"/>
        </w:rPr>
        <w:t>El  artículo</w:t>
      </w:r>
      <w:r>
        <w:rPr>
          <w:rFonts w:cs="Arial" w:ascii="Arial" w:hAnsi="Arial"/>
          <w:sz w:val="22"/>
          <w:szCs w:val="22"/>
          <w:highlight w:val="white"/>
        </w:rPr>
        <w:t xml:space="preserve"> </w:t>
      </w:r>
      <w:r>
        <w:rPr>
          <w:rFonts w:eastAsia="Arial" w:cs="Arial" w:ascii="Arial" w:hAnsi="Arial"/>
          <w:sz w:val="22"/>
          <w:szCs w:val="22"/>
        </w:rPr>
        <w:t xml:space="preserve">9 ibídem la Secretaría Distrital de Cultura, Recreación y Deporte (SCRD) en calidad de entidad Gestora de la actividad “hacedores de oficios artesanales en el espacio público definió el concepto de las zonas autorizadas para el ejercicio de las actividades de los hacedores/as de oficios artesanales: </w:t>
      </w:r>
    </w:p>
    <w:p>
      <w:pPr>
        <w:pStyle w:val="LOnormal1"/>
        <w:tabs>
          <w:tab w:val="clear" w:pos="720"/>
          <w:tab w:val="left" w:pos="6507" w:leader="none"/>
        </w:tabs>
        <w:spacing w:lineRule="auto" w:line="276"/>
        <w:ind w:right="-142" w:hanging="0"/>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r>
    </w:p>
    <w:p>
      <w:pPr>
        <w:pStyle w:val="Normal"/>
        <w:tabs>
          <w:tab w:val="clear" w:pos="720"/>
          <w:tab w:val="left" w:pos="6507" w:leader="none"/>
        </w:tabs>
        <w:spacing w:lineRule="auto" w:line="276"/>
        <w:ind w:left="708" w:right="-142" w:hanging="0"/>
        <w:jc w:val="both"/>
        <w:rPr>
          <w:rFonts w:ascii="Arial" w:hAnsi="Arial" w:cs="Arial"/>
          <w:sz w:val="22"/>
          <w:szCs w:val="22"/>
        </w:rPr>
      </w:pPr>
      <w:r>
        <w:rPr>
          <w:rFonts w:eastAsia="Arial" w:cs="Arial" w:ascii="Arial" w:hAnsi="Arial"/>
          <w:i/>
          <w:iCs/>
          <w:sz w:val="22"/>
          <w:szCs w:val="22"/>
        </w:rPr>
        <w:t>“</w:t>
      </w:r>
      <w:r>
        <w:rPr>
          <w:rFonts w:eastAsia="Arial" w:cs="Arial" w:ascii="Arial" w:hAnsi="Arial"/>
          <w:i/>
          <w:iCs/>
          <w:sz w:val="22"/>
          <w:szCs w:val="22"/>
        </w:rPr>
        <w:t xml:space="preserve">Artículo 9. Zonas autorizadas para el ejercicio de las actividades de los hacedores/as de oficios artesanales con fines de visibilización y circulación </w:t>
      </w:r>
      <w:r>
        <w:rPr>
          <w:rFonts w:eastAsia="Arial" w:cs="Arial" w:ascii="Arial" w:hAnsi="Arial"/>
          <w:b/>
          <w:i/>
          <w:iCs/>
          <w:sz w:val="22"/>
          <w:szCs w:val="22"/>
        </w:rPr>
        <w:t xml:space="preserve">comercial de productos y saberes artesanales: </w:t>
      </w:r>
      <w:r>
        <w:rPr>
          <w:rFonts w:eastAsia="Arial" w:cs="Arial" w:ascii="Arial" w:hAnsi="Arial"/>
          <w:i/>
          <w:iCs/>
          <w:sz w:val="22"/>
          <w:szCs w:val="22"/>
        </w:rPr>
        <w:t>Son espacios públicos de la ciudad, de interés cultural, simbólico, turístico y patrimonial por la comercialización de objetos y saberes artesanales.</w:t>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r>
    </w:p>
    <w:p>
      <w:pPr>
        <w:pStyle w:val="LOnormal1"/>
        <w:tabs>
          <w:tab w:val="clear" w:pos="720"/>
          <w:tab w:val="left" w:pos="6507" w:leader="none"/>
        </w:tabs>
        <w:spacing w:lineRule="auto" w:line="276"/>
        <w:ind w:left="708" w:right="-142" w:hanging="0"/>
        <w:jc w:val="both"/>
        <w:rPr>
          <w:rFonts w:ascii="Arial" w:hAnsi="Arial" w:cs="Arial"/>
          <w:sz w:val="22"/>
          <w:szCs w:val="22"/>
        </w:rPr>
      </w:pPr>
      <w:r>
        <w:rPr>
          <w:rFonts w:eastAsia="Arial" w:cs="Arial" w:ascii="Arial" w:hAnsi="Arial"/>
          <w:i/>
          <w:iCs/>
          <w:sz w:val="22"/>
          <w:szCs w:val="22"/>
        </w:rPr>
        <w:t xml:space="preserve">Los/as hacedores/as de oficios artesanales desarrollarán su actividad en las zonas autorizadas y en los tiempos establecidos conforme a los permisos expedidos por la Secretaría Distrital de Cultura, Recreación y Deporte (SCRD) en calidad de entidad gestora. </w:t>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r>
    </w:p>
    <w:p>
      <w:pPr>
        <w:pStyle w:val="LOnormal1"/>
        <w:tabs>
          <w:tab w:val="clear" w:pos="720"/>
          <w:tab w:val="left" w:pos="6507" w:leader="none"/>
        </w:tabs>
        <w:spacing w:lineRule="auto" w:line="276"/>
        <w:ind w:left="708" w:right="-142" w:hanging="0"/>
        <w:jc w:val="both"/>
        <w:rPr>
          <w:rFonts w:ascii="Arial" w:hAnsi="Arial" w:eastAsia="Arial" w:cs="Arial"/>
          <w:i/>
          <w:i/>
          <w:iCs/>
          <w:sz w:val="22"/>
          <w:szCs w:val="22"/>
        </w:rPr>
      </w:pPr>
      <w:r>
        <w:rPr>
          <w:rFonts w:eastAsia="Arial" w:cs="Arial" w:ascii="Arial" w:hAnsi="Arial"/>
          <w:i/>
          <w:iCs/>
          <w:sz w:val="22"/>
          <w:szCs w:val="22"/>
        </w:rPr>
        <w:t>Parágrafo. De acuerdo con el parágrafo 7 del artículo 8 del Decreto 315 de 2024, las actividades con y sin motivación económica atenderán los lineamientos establecidos en los Planes Especiales de Manejo y Protección (PEMP) y demás instrumentos de gestión del patrimonio vigentes.</w:t>
      </w:r>
    </w:p>
    <w:p>
      <w:pPr>
        <w:pStyle w:val="LOnormal1"/>
        <w:tabs>
          <w:tab w:val="clear" w:pos="720"/>
          <w:tab w:val="left" w:pos="6507" w:leader="none"/>
        </w:tabs>
        <w:spacing w:lineRule="auto" w:line="276"/>
        <w:ind w:right="-142" w:hanging="0"/>
        <w:jc w:val="both"/>
        <w:rPr>
          <w:rFonts w:ascii="Arial" w:hAnsi="Arial" w:eastAsia="Arial" w:cs="Arial"/>
          <w:i/>
          <w:i/>
          <w:iCs/>
          <w:sz w:val="22"/>
          <w:szCs w:val="22"/>
        </w:rPr>
      </w:pPr>
      <w:r>
        <w:rPr>
          <w:rFonts w:eastAsia="Arial" w:cs="Arial" w:ascii="Arial" w:hAnsi="Arial"/>
          <w:i/>
          <w:iCs/>
          <w:sz w:val="22"/>
          <w:szCs w:val="22"/>
        </w:rPr>
      </w:r>
    </w:p>
    <w:p>
      <w:pPr>
        <w:pStyle w:val="LOnormal1"/>
        <w:tabs>
          <w:tab w:val="clear" w:pos="720"/>
          <w:tab w:val="left" w:pos="6507" w:leader="none"/>
        </w:tabs>
        <w:spacing w:lineRule="auto" w:line="276"/>
        <w:ind w:right="-142" w:hanging="0"/>
        <w:jc w:val="both"/>
        <w:rPr>
          <w:rFonts w:ascii="Arial" w:hAnsi="Arial" w:cs="Arial"/>
          <w:sz w:val="22"/>
          <w:szCs w:val="22"/>
        </w:rPr>
      </w:pPr>
      <w:r>
        <w:rPr>
          <w:rFonts w:eastAsia="Arial" w:cs="Arial" w:ascii="Arial" w:hAnsi="Arial"/>
          <w:sz w:val="22"/>
          <w:szCs w:val="22"/>
        </w:rPr>
        <w:t xml:space="preserve">El artículo 10 de la mencionada Resolución 500 de 2025 establece que la Secretaría Distrital de Cultura, Recreación y Deporte (SCRD) priorizará algunas zonas de la ciudad que tienen potencial para transformarse en lugares aptos para la visibilización y circulación de productos y saberes artesanales, con el objetivo de fortalecer el carácter cultural, simbólico y turístico que representan para la ciudad.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
        <w:tabs>
          <w:tab w:val="clear" w:pos="720"/>
          <w:tab w:val="left" w:pos="6507" w:leader="none"/>
        </w:tabs>
        <w:spacing w:lineRule="auto" w:line="276"/>
        <w:ind w:right="-142" w:hanging="0"/>
        <w:jc w:val="both"/>
        <w:rPr>
          <w:rFonts w:ascii="Arial" w:hAnsi="Arial" w:eastAsia="Arial" w:cs="Arial"/>
          <w:sz w:val="22"/>
          <w:szCs w:val="22"/>
        </w:rPr>
      </w:pPr>
      <w:r>
        <w:rPr>
          <w:rFonts w:eastAsia="Arial" w:cs="Arial" w:ascii="Arial" w:hAnsi="Arial"/>
          <w:sz w:val="22"/>
          <w:szCs w:val="22"/>
        </w:rPr>
        <w:t>De igual forma en el numeral 1.3 del  artículo 10 define que conforme a la disponibilidad del espacio público por parte de la entidad administradora correspondiente, la Secretaría Distrital de Cultura, Recreación y Deporte (SCRD) expedirá la resolución por la que se abre la nueva zona para la realización de la actividad, con su respectivo plan de manejo, donde se especificarán: cupos, horarios, ubicaciones, responsabilidades por parte de las personas interesadas y demás aspectos que se requieran conforme a la dinámica de cada zona.</w:t>
      </w:r>
    </w:p>
    <w:p>
      <w:pPr>
        <w:pStyle w:val="LOnormal"/>
        <w:tabs>
          <w:tab w:val="clear" w:pos="720"/>
          <w:tab w:val="left" w:pos="6507" w:leader="none"/>
        </w:tabs>
        <w:spacing w:lineRule="auto" w:line="276"/>
        <w:ind w:right="-142" w:hanging="0"/>
        <w:jc w:val="both"/>
        <w:rPr>
          <w:rFonts w:ascii="Arial" w:hAnsi="Arial" w:eastAsia="Arial" w:cs="Arial"/>
          <w:color w:val="C9211E"/>
          <w:sz w:val="22"/>
          <w:szCs w:val="22"/>
        </w:rPr>
      </w:pPr>
      <w:r>
        <w:rPr>
          <w:rFonts w:eastAsia="Arial" w:cs="Arial" w:ascii="Arial" w:hAnsi="Arial"/>
          <w:color w:val="C9211E"/>
          <w:sz w:val="22"/>
          <w:szCs w:val="22"/>
        </w:rPr>
      </w:r>
    </w:p>
    <w:p>
      <w:pPr>
        <w:pStyle w:val="LOnormal1"/>
        <w:spacing w:lineRule="auto" w:line="276"/>
        <w:jc w:val="both"/>
        <w:rPr>
          <w:rFonts w:ascii="Arial" w:hAnsi="Arial" w:eastAsia="Arial" w:cs="Arial"/>
          <w:sz w:val="22"/>
          <w:szCs w:val="22"/>
        </w:rPr>
      </w:pPr>
      <w:r>
        <w:rPr>
          <w:rFonts w:eastAsia="Arial" w:cs="Arial" w:ascii="Arial" w:hAnsi="Arial"/>
          <w:sz w:val="22"/>
          <w:szCs w:val="22"/>
        </w:rPr>
        <w:t xml:space="preserve">El equipo de la Subdirección de Gestión Cultural y Artística de la Secretaría de Cultura, Recreación y Deporte (SCRD), para la adopción de la zona autorizada Calle 11 (entre Carreras 5 y 7), realizó  las visitas técnicas de diagnóstico entre el 26 de agosto y 7 de septiembre de 2025 (Radicados SCRD 20253100545413 y 20253100473783), en las que se recolectó información técnica de dicho espacio.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lineRule="auto" w:line="276"/>
        <w:jc w:val="both"/>
        <w:rPr>
          <w:rFonts w:ascii="Arial" w:hAnsi="Arial" w:cs="Arial"/>
          <w:sz w:val="22"/>
          <w:szCs w:val="22"/>
        </w:rPr>
      </w:pPr>
      <w:r>
        <w:rPr>
          <w:rFonts w:eastAsia="Arial" w:cs="Arial" w:ascii="Arial" w:hAnsi="Arial"/>
          <w:sz w:val="22"/>
          <w:szCs w:val="22"/>
        </w:rPr>
        <w:t>La Secretaría Distrital de Cultura, Recreación y Deporte (SCRD), solicitó al Instituto Distrital de Desarrollo Urbano (IDU), en calidad de entidad administradora del espacio público, la disponibilidad de espacio público por medio del radicado SCRD No. 2025310020558, de fecha el 26 de noviembre de 2025.</w:t>
      </w:r>
    </w:p>
    <w:p>
      <w:pPr>
        <w:pStyle w:val="LOnormal1"/>
        <w:spacing w:lineRule="auto" w:line="276"/>
        <w:jc w:val="both"/>
        <w:rPr>
          <w:rFonts w:ascii="Arial" w:hAnsi="Arial" w:eastAsia="Arial" w:cs="Arial"/>
          <w:sz w:val="22"/>
          <w:szCs w:val="22"/>
          <w:highlight w:val="green"/>
        </w:rPr>
      </w:pPr>
      <w:r>
        <w:rPr>
          <w:rFonts w:eastAsia="Arial" w:cs="Arial" w:ascii="Arial" w:hAnsi="Arial"/>
          <w:sz w:val="22"/>
          <w:szCs w:val="22"/>
          <w:highlight w:val="green"/>
        </w:rPr>
      </w:r>
    </w:p>
    <w:p>
      <w:pPr>
        <w:pStyle w:val="LOnormal1"/>
        <w:tabs>
          <w:tab w:val="clear" w:pos="720"/>
          <w:tab w:val="left" w:pos="2135" w:leader="none"/>
        </w:tabs>
        <w:spacing w:lineRule="auto" w:line="276"/>
        <w:jc w:val="both"/>
        <w:rPr>
          <w:rFonts w:ascii="Arial" w:hAnsi="Arial" w:eastAsia="Arial" w:cs="Arial"/>
          <w:sz w:val="22"/>
          <w:szCs w:val="22"/>
        </w:rPr>
      </w:pPr>
      <w:r>
        <w:rPr>
          <w:rFonts w:eastAsia="Arial" w:cs="Arial" w:ascii="Arial" w:hAnsi="Arial"/>
          <w:sz w:val="22"/>
          <w:szCs w:val="22"/>
        </w:rPr>
        <w:t xml:space="preserve">La disponibilidad del espacio público para el desarrollo del plan de manejo fue dada por el Instituto de Desarrollo Urbano (IDU) según comunicación DTAI 202637500021681 y radicado en la SCRD bajo el No. 20267100013782 el 16 de enero de 2026, el cual hace parte integral del presente acto administrativo. </w:t>
      </w:r>
    </w:p>
    <w:p>
      <w:pPr>
        <w:pStyle w:val="LOnormal1"/>
        <w:spacing w:lineRule="auto" w:line="276"/>
        <w:jc w:val="both"/>
        <w:rPr>
          <w:rFonts w:ascii="Arial" w:hAnsi="Arial" w:eastAsia="Arial" w:cs="Arial"/>
          <w:sz w:val="22"/>
          <w:szCs w:val="22"/>
          <w:highlight w:val="cyan"/>
        </w:rPr>
      </w:pPr>
      <w:r>
        <w:rPr>
          <w:rFonts w:eastAsia="Arial" w:cs="Arial" w:ascii="Arial" w:hAnsi="Arial"/>
          <w:sz w:val="22"/>
          <w:szCs w:val="22"/>
          <w:highlight w:val="cyan"/>
        </w:rPr>
      </w:r>
    </w:p>
    <w:p>
      <w:pPr>
        <w:pStyle w:val="LOnormal1"/>
        <w:spacing w:lineRule="auto" w:line="276"/>
        <w:jc w:val="both"/>
        <w:rPr>
          <w:rFonts w:ascii="Arial" w:hAnsi="Arial" w:eastAsia="Arial" w:cs="Arial"/>
          <w:sz w:val="22"/>
          <w:szCs w:val="22"/>
        </w:rPr>
      </w:pPr>
      <w:r>
        <w:rPr>
          <w:rFonts w:eastAsia="Arial" w:cs="Arial" w:ascii="Arial" w:hAnsi="Arial"/>
          <w:sz w:val="22"/>
          <w:szCs w:val="22"/>
        </w:rPr>
        <w:t xml:space="preserve">La Dirección de Arte, Cultura y Patrimonio de la Secretaría de Cultura, Recreación y Deporte (SCRD), de acuerdo con el Decreto 670 de 2025, solicitó concepto al Instituto Distrital de Patrimonio Cultural (IDPC) el día 27 de noviembre de 2025 (Radicado SCRD 20253100206731), debido a que la zona autorizada se encuentra al interior del área afectada del Plan Especial de Manejo y Protección del Centro Histórico de Bogotá - PEMP-CHB, concepto que fue favorable de acuerdo con la respuesta emitida por dicha entidad el día 28 de enero de 2026 mediante el Radicado IDPC 20253100206731  y SCRD 20267100029972.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2135" w:leader="none"/>
        </w:tabs>
        <w:spacing w:lineRule="auto" w:line="276"/>
        <w:jc w:val="both"/>
        <w:rPr/>
      </w:pPr>
      <w:r>
        <w:rPr>
          <w:rFonts w:eastAsia="Arial" w:cs="Arial" w:ascii="Arial" w:hAnsi="Arial"/>
          <w:sz w:val="22"/>
          <w:szCs w:val="22"/>
          <w:highlight w:val="white"/>
        </w:rPr>
        <w:t xml:space="preserve">En cumplimiento del numeral </w:t>
      </w:r>
      <w:r>
        <w:fldChar w:fldCharType="begin"/>
      </w:r>
      <w:r>
        <w:rPr>
          <w:rStyle w:val="Style"/>
          <w:sz w:val="22"/>
          <w:u w:val="single"/>
          <w:szCs w:val="22"/>
          <w:rFonts w:eastAsia="Arial" w:cs="Arial" w:ascii="Arial" w:hAnsi="Arial"/>
        </w:rPr>
        <w:instrText> HYPERLINK "https://www.alcaldiabogota.gov.co/sisjur//normas/Norma1.jsp?i=41249" \l "8.n.8"</w:instrText>
      </w:r>
      <w:r>
        <w:rPr>
          <w:rStyle w:val="Style"/>
          <w:sz w:val="22"/>
          <w:u w:val="single"/>
          <w:szCs w:val="22"/>
          <w:rFonts w:eastAsia="Arial" w:cs="Arial" w:ascii="Arial" w:hAnsi="Arial"/>
        </w:rPr>
        <w:fldChar w:fldCharType="separate"/>
      </w:r>
      <w:r>
        <w:rPr>
          <w:rStyle w:val="Style"/>
          <w:rFonts w:eastAsia="Arial" w:cs="Arial" w:ascii="Arial" w:hAnsi="Arial"/>
          <w:sz w:val="22"/>
          <w:szCs w:val="22"/>
          <w:u w:val="single"/>
        </w:rPr>
        <w:t>8</w:t>
      </w:r>
      <w:r>
        <w:rPr>
          <w:rStyle w:val="Style"/>
          <w:sz w:val="22"/>
          <w:u w:val="single"/>
          <w:szCs w:val="22"/>
          <w:rFonts w:eastAsia="Arial" w:cs="Arial" w:ascii="Arial" w:hAnsi="Arial"/>
        </w:rPr>
        <w:fldChar w:fldCharType="end"/>
      </w:r>
      <w:r>
        <w:rPr>
          <w:rFonts w:eastAsia="Arial" w:cs="Arial" w:ascii="Arial" w:hAnsi="Arial"/>
          <w:sz w:val="22"/>
          <w:szCs w:val="22"/>
          <w:highlight w:val="white"/>
        </w:rPr>
        <w:t xml:space="preserve"> del artículo 8 del CPACA, y del artículo </w:t>
      </w:r>
      <w:r>
        <w:fldChar w:fldCharType="begin"/>
      </w:r>
      <w:r>
        <w:rPr>
          <w:rStyle w:val="Style"/>
          <w:sz w:val="22"/>
          <w:u w:val="single"/>
          <w:szCs w:val="22"/>
          <w:rFonts w:eastAsia="Arial" w:cs="Arial" w:ascii="Arial" w:hAnsi="Arial"/>
        </w:rPr>
        <w:instrText> HYPERLINK "https://www.alcaldiabogota.gov.co/sisjur//normas/Norma1.jsp?i=170877" \l "69"</w:instrText>
      </w:r>
      <w:r>
        <w:rPr>
          <w:rStyle w:val="Style"/>
          <w:sz w:val="22"/>
          <w:u w:val="single"/>
          <w:szCs w:val="22"/>
          <w:rFonts w:eastAsia="Arial" w:cs="Arial" w:ascii="Arial" w:hAnsi="Arial"/>
        </w:rPr>
        <w:fldChar w:fldCharType="separate"/>
      </w:r>
      <w:r>
        <w:rPr>
          <w:rStyle w:val="Style"/>
          <w:rFonts w:eastAsia="Arial" w:cs="Arial" w:ascii="Arial" w:hAnsi="Arial"/>
          <w:sz w:val="22"/>
          <w:szCs w:val="22"/>
          <w:u w:val="single"/>
        </w:rPr>
        <w:t>69</w:t>
      </w:r>
      <w:r>
        <w:rPr>
          <w:rStyle w:val="Style"/>
          <w:sz w:val="22"/>
          <w:u w:val="single"/>
          <w:szCs w:val="22"/>
          <w:rFonts w:eastAsia="Arial" w:cs="Arial" w:ascii="Arial" w:hAnsi="Arial"/>
        </w:rPr>
        <w:fldChar w:fldCharType="end"/>
      </w:r>
      <w:r>
        <w:rPr>
          <w:rFonts w:eastAsia="Arial" w:cs="Arial" w:ascii="Arial" w:hAnsi="Arial"/>
          <w:sz w:val="22"/>
          <w:szCs w:val="22"/>
          <w:highlight w:val="white"/>
        </w:rPr>
        <w:t xml:space="preserve"> del Decreto Distrital 479 de 2024, el proyecto de acto administrativo se publicó en la página web de la entidad y en el portal de LegalBog durante 5 días hábiles a partir del </w:t>
      </w:r>
      <w:r>
        <w:rPr>
          <w:rFonts w:eastAsia="Arial" w:cs="Arial" w:ascii="Arial" w:hAnsi="Arial"/>
          <w:color w:val="C9211E"/>
          <w:sz w:val="22"/>
          <w:szCs w:val="22"/>
          <w:highlight w:val="white"/>
        </w:rPr>
        <w:t xml:space="preserve">del 9 y hasta el 13 de marzo de 2026 </w:t>
      </w:r>
      <w:r>
        <w:rPr>
          <w:rFonts w:eastAsia="Arial" w:cs="Arial" w:ascii="Arial" w:hAnsi="Arial"/>
          <w:sz w:val="22"/>
          <w:szCs w:val="22"/>
          <w:highlight w:val="white"/>
        </w:rPr>
        <w:t>para que los ciudadanos presentarán sus observaciones, sugerencias u opiniones, fecha entre las cuales se recibieron____</w:t>
      </w:r>
      <w:r>
        <w:rPr>
          <w:rFonts w:eastAsia="Arial" w:cs="Arial" w:ascii="Arial" w:hAnsi="Arial"/>
          <w:color w:val="C9211E"/>
          <w:sz w:val="22"/>
          <w:szCs w:val="22"/>
          <w:highlight w:val="white"/>
        </w:rPr>
        <w:t xml:space="preserve">como consta en la matriz de observaciones y respuestas, </w:t>
      </w:r>
      <w:r>
        <w:rPr>
          <w:rFonts w:eastAsia="Arial" w:cs="Arial" w:ascii="Arial" w:hAnsi="Arial"/>
          <w:sz w:val="22"/>
          <w:szCs w:val="22"/>
          <w:highlight w:val="white"/>
        </w:rPr>
        <w:t>radicado en el sistema de gestión documental ORFEO, con número de radicado ___________________.</w:t>
      </w:r>
    </w:p>
    <w:p>
      <w:pPr>
        <w:pStyle w:val="LOnormal1"/>
        <w:tabs>
          <w:tab w:val="clear" w:pos="720"/>
          <w:tab w:val="left" w:pos="2135" w:leader="none"/>
        </w:tabs>
        <w:spacing w:lineRule="auto" w:line="276"/>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2135" w:leader="none"/>
        </w:tabs>
        <w:spacing w:lineRule="auto" w:line="276"/>
        <w:jc w:val="both"/>
        <w:rPr>
          <w:rFonts w:ascii="Arial" w:hAnsi="Arial" w:eastAsia="Arial" w:cs="Arial"/>
          <w:sz w:val="22"/>
          <w:szCs w:val="22"/>
        </w:rPr>
      </w:pPr>
      <w:r>
        <w:rPr>
          <w:rFonts w:eastAsia="Arial" w:cs="Arial" w:ascii="Arial" w:hAnsi="Arial"/>
          <w:sz w:val="22"/>
          <w:szCs w:val="22"/>
        </w:rPr>
        <w:t>En consecuencia, la Secretaría Distrital de Cultura, Recreación y Deporte (SCRD)  en calidad de entidad Gestora de los “Hacedores de Oficios Artesanales en el Espacio Público” procede a expedir el presente acto administrativo.</w:t>
      </w:r>
    </w:p>
    <w:p>
      <w:pPr>
        <w:pStyle w:val="LOnormal1"/>
        <w:tabs>
          <w:tab w:val="clear" w:pos="720"/>
          <w:tab w:val="left" w:pos="6507" w:leader="none"/>
        </w:tabs>
        <w:spacing w:lineRule="auto" w:line="276"/>
        <w:ind w:left="-280" w:right="-142" w:hanging="0"/>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6507" w:leader="none"/>
        </w:tabs>
        <w:spacing w:lineRule="auto" w:line="276"/>
        <w:ind w:right="-142" w:hanging="0"/>
        <w:jc w:val="both"/>
        <w:rPr>
          <w:rFonts w:ascii="Arial" w:hAnsi="Arial" w:eastAsia="Arial" w:cs="Arial"/>
          <w:b/>
          <w:b/>
          <w:bCs/>
          <w:sz w:val="22"/>
          <w:szCs w:val="22"/>
        </w:rPr>
      </w:pPr>
      <w:r>
        <w:rPr>
          <w:rFonts w:eastAsia="Arial" w:cs="Arial" w:ascii="Arial" w:hAnsi="Arial"/>
          <w:sz w:val="22"/>
          <w:szCs w:val="22"/>
        </w:rPr>
        <w:t xml:space="preserve">En mérito a lo expuesto, </w:t>
      </w:r>
    </w:p>
    <w:p>
      <w:pPr>
        <w:pStyle w:val="LOnormal1"/>
        <w:spacing w:lineRule="auto" w:line="276"/>
        <w:rPr>
          <w:rFonts w:ascii="Arial" w:hAnsi="Arial" w:eastAsia="Arial" w:cs="Arial"/>
          <w:b/>
          <w:b/>
          <w:bCs/>
          <w:sz w:val="22"/>
          <w:szCs w:val="22"/>
        </w:rPr>
      </w:pPr>
      <w:r>
        <w:rPr>
          <w:rFonts w:eastAsia="Arial" w:cs="Arial" w:ascii="Arial" w:hAnsi="Arial"/>
          <w:b/>
          <w:bCs/>
          <w:sz w:val="22"/>
          <w:szCs w:val="22"/>
        </w:rPr>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t>RESUELVE</w:t>
      </w:r>
    </w:p>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LOnormal1"/>
        <w:spacing w:lineRule="auto" w:line="276"/>
        <w:jc w:val="both"/>
        <w:rPr>
          <w:rFonts w:ascii="Arial" w:hAnsi="Arial" w:eastAsia="Arial" w:cs="Arial"/>
          <w:sz w:val="22"/>
          <w:szCs w:val="22"/>
        </w:rPr>
      </w:pPr>
      <w:r>
        <w:rPr>
          <w:rFonts w:eastAsia="Arial" w:cs="Arial" w:ascii="Arial" w:hAnsi="Arial"/>
          <w:b/>
          <w:bCs/>
          <w:sz w:val="22"/>
          <w:szCs w:val="22"/>
        </w:rPr>
        <w:t xml:space="preserve">Artículo 1°. Objeto.  </w:t>
      </w:r>
      <w:r>
        <w:rPr>
          <w:rFonts w:eastAsia="Arial" w:cs="Arial" w:ascii="Arial" w:hAnsi="Arial"/>
          <w:sz w:val="22"/>
          <w:szCs w:val="22"/>
        </w:rPr>
        <w:t>Determinar e implementar el plan de manejo de la Calle 11 entre Carreras 5 y 7, para la realización de la actividad de aprovechamiento económico  “HACEDORES DE OFICIOS ARTESANALES EN EL ESPACIO PÚBLICO”, el cual hace parte integral del presente acto administrativo.</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jc w:val="both"/>
        <w:rPr>
          <w:rFonts w:ascii="Arial" w:hAnsi="Arial" w:eastAsia="Arial" w:cs="Arial"/>
          <w:sz w:val="22"/>
          <w:szCs w:val="22"/>
        </w:rPr>
      </w:pPr>
      <w:r>
        <w:rPr>
          <w:rFonts w:eastAsia="Arial" w:cs="Arial" w:ascii="Arial" w:hAnsi="Arial"/>
          <w:b/>
          <w:bCs/>
          <w:sz w:val="22"/>
          <w:szCs w:val="22"/>
        </w:rPr>
        <w:t xml:space="preserve">Artículo 2°. Espacios.  </w:t>
      </w:r>
      <w:r>
        <w:rPr>
          <w:rFonts w:eastAsia="Arial" w:cs="Arial" w:ascii="Arial" w:hAnsi="Arial"/>
          <w:sz w:val="22"/>
          <w:szCs w:val="22"/>
        </w:rPr>
        <w:t>Las actividades de los hacedores de oficios artesanales en el espacio público permitidas se clasificarán y organizarán de la siguiente manera:</w:t>
      </w:r>
    </w:p>
    <w:p>
      <w:pPr>
        <w:pStyle w:val="LOnormal1"/>
        <w:spacing w:lineRule="auto" w:line="276"/>
        <w:jc w:val="both"/>
        <w:rPr>
          <w:rFonts w:ascii="Arial" w:hAnsi="Arial" w:eastAsia="Arial" w:cs="Arial"/>
          <w:sz w:val="22"/>
          <w:szCs w:val="22"/>
        </w:rPr>
      </w:pPr>
      <w:r>
        <w:rPr>
          <w:rFonts w:eastAsia="Arial" w:cs="Arial" w:ascii="Arial" w:hAnsi="Arial"/>
          <w:sz w:val="22"/>
          <w:szCs w:val="22"/>
        </w:rPr>
      </w:r>
    </w:p>
    <w:tbl>
      <w:tblPr>
        <w:tblW w:w="8610" w:type="dxa"/>
        <w:jc w:val="left"/>
        <w:tblInd w:w="105" w:type="dxa"/>
        <w:tblCellMar>
          <w:top w:w="100" w:type="dxa"/>
          <w:left w:w="100" w:type="dxa"/>
          <w:bottom w:w="100" w:type="dxa"/>
          <w:right w:w="100" w:type="dxa"/>
        </w:tblCellMar>
        <w:tblLook w:firstRow="0" w:noVBand="1" w:lastRow="0" w:firstColumn="0" w:lastColumn="0" w:noHBand="1" w:val="0600"/>
      </w:tblPr>
      <w:tblGrid>
        <w:gridCol w:w="3419"/>
        <w:gridCol w:w="1337"/>
        <w:gridCol w:w="3854"/>
      </w:tblGrid>
      <w:tr>
        <w:trPr>
          <w:trHeight w:val="420" w:hRule="atLeast"/>
        </w:trPr>
        <w:tc>
          <w:tcPr>
            <w:tcW w:w="8610" w:type="dxa"/>
            <w:gridSpan w:val="3"/>
            <w:tcBorders>
              <w:top w:val="single" w:sz="8" w:space="0" w:color="000000"/>
              <w:left w:val="single" w:sz="8" w:space="0" w:color="000000"/>
              <w:bottom w:val="single" w:sz="8" w:space="0" w:color="000000"/>
              <w:right w:val="single" w:sz="8" w:space="0" w:color="000000"/>
            </w:tcBorders>
            <w:shd w:color="auto" w:fill="FFFFFF" w:val="clear"/>
          </w:tcPr>
          <w:p>
            <w:pPr>
              <w:pStyle w:val="LOnormal1"/>
              <w:tabs>
                <w:tab w:val="clear" w:pos="720"/>
                <w:tab w:val="left" w:pos="2135" w:leader="none"/>
              </w:tabs>
              <w:spacing w:lineRule="auto" w:line="276" w:before="240" w:after="240"/>
              <w:jc w:val="center"/>
              <w:rPr>
                <w:rFonts w:ascii="Arial" w:hAnsi="Arial" w:eastAsia="Arial" w:cs="Arial"/>
                <w:b/>
                <w:b/>
                <w:bCs/>
                <w:sz w:val="22"/>
                <w:szCs w:val="22"/>
              </w:rPr>
            </w:pPr>
            <w:r>
              <w:rPr>
                <w:rFonts w:eastAsia="Arial" w:cs="Arial" w:ascii="Arial" w:hAnsi="Arial"/>
                <w:b/>
                <w:bCs/>
                <w:sz w:val="22"/>
                <w:szCs w:val="22"/>
              </w:rPr>
              <w:t xml:space="preserve">   </w:t>
            </w:r>
            <w:r>
              <w:rPr>
                <w:rFonts w:eastAsia="Arial" w:cs="Arial" w:ascii="Arial" w:hAnsi="Arial"/>
                <w:b/>
                <w:bCs/>
                <w:sz w:val="22"/>
                <w:szCs w:val="22"/>
              </w:rPr>
              <w:t>Calle 11 entre Carreras 5 y 7</w:t>
            </w:r>
          </w:p>
        </w:tc>
      </w:tr>
      <w:tr>
        <w:trPr/>
        <w:tc>
          <w:tcPr>
            <w:tcW w:w="3419" w:type="dxa"/>
            <w:tcBorders>
              <w:top w:val="single" w:sz="8" w:space="0" w:color="000000"/>
              <w:left w:val="single" w:sz="8" w:space="0" w:color="000000"/>
              <w:bottom w:val="single" w:sz="8" w:space="0" w:color="000000"/>
              <w:right w:val="single" w:sz="8" w:space="0" w:color="000000"/>
            </w:tcBorders>
            <w:shd w:color="auto" w:fill="FFFFFF" w:val="clear"/>
          </w:tcPr>
          <w:p>
            <w:pPr>
              <w:pStyle w:val="LOnormal1"/>
              <w:spacing w:lineRule="auto" w:line="276"/>
              <w:jc w:val="center"/>
              <w:rPr>
                <w:rFonts w:ascii="Arial" w:hAnsi="Arial" w:eastAsia="Arial" w:cs="Arial"/>
                <w:b/>
                <w:b/>
                <w:bCs/>
                <w:sz w:val="22"/>
                <w:szCs w:val="22"/>
              </w:rPr>
            </w:pPr>
            <w:r>
              <w:rPr>
                <w:rFonts w:eastAsia="Arial" w:cs="Arial" w:ascii="Arial" w:hAnsi="Arial"/>
                <w:b/>
                <w:bCs/>
                <w:sz w:val="22"/>
                <w:szCs w:val="22"/>
              </w:rPr>
              <w:t>TRAMO</w:t>
            </w:r>
          </w:p>
        </w:tc>
        <w:tc>
          <w:tcPr>
            <w:tcW w:w="1337" w:type="dxa"/>
            <w:tcBorders>
              <w:top w:val="single" w:sz="8" w:space="0" w:color="000000"/>
              <w:left w:val="single" w:sz="8" w:space="0" w:color="000000"/>
              <w:bottom w:val="single" w:sz="8" w:space="0" w:color="000000"/>
              <w:right w:val="single" w:sz="8" w:space="0" w:color="000000"/>
            </w:tcBorders>
            <w:shd w:color="auto" w:fill="FFFFFF" w:val="clear"/>
          </w:tcPr>
          <w:p>
            <w:pPr>
              <w:pStyle w:val="LOnormal1"/>
              <w:widowControl w:val="false"/>
              <w:spacing w:lineRule="auto" w:line="276"/>
              <w:jc w:val="center"/>
              <w:rPr>
                <w:rFonts w:ascii="Arial" w:hAnsi="Arial" w:eastAsia="Arial" w:cs="Arial"/>
                <w:b/>
                <w:b/>
                <w:bCs/>
                <w:sz w:val="22"/>
                <w:szCs w:val="22"/>
              </w:rPr>
            </w:pPr>
            <w:r>
              <w:rPr>
                <w:rFonts w:eastAsia="Arial" w:cs="Arial" w:ascii="Arial" w:hAnsi="Arial"/>
                <w:b/>
                <w:bCs/>
                <w:sz w:val="22"/>
                <w:szCs w:val="22"/>
              </w:rPr>
              <w:t>ESPACIOS</w:t>
            </w:r>
          </w:p>
        </w:tc>
        <w:tc>
          <w:tcPr>
            <w:tcW w:w="3854" w:type="dxa"/>
            <w:tcBorders>
              <w:top w:val="single" w:sz="8" w:space="0" w:color="000000"/>
              <w:left w:val="single" w:sz="8" w:space="0" w:color="000000"/>
              <w:bottom w:val="single" w:sz="8" w:space="0" w:color="000000"/>
              <w:right w:val="single" w:sz="8" w:space="0" w:color="000000"/>
            </w:tcBorders>
            <w:shd w:color="auto" w:fill="FFFFFF" w:val="clear"/>
          </w:tcPr>
          <w:p>
            <w:pPr>
              <w:pStyle w:val="LOnormal1"/>
              <w:widowControl w:val="false"/>
              <w:spacing w:lineRule="auto" w:line="276"/>
              <w:jc w:val="center"/>
              <w:rPr>
                <w:rFonts w:ascii="Arial" w:hAnsi="Arial" w:eastAsia="Arial" w:cs="Arial"/>
                <w:b/>
                <w:b/>
                <w:bCs/>
                <w:sz w:val="22"/>
                <w:szCs w:val="22"/>
              </w:rPr>
            </w:pPr>
            <w:r>
              <w:rPr>
                <w:rFonts w:eastAsia="Arial" w:cs="Arial" w:ascii="Arial" w:hAnsi="Arial"/>
                <w:b/>
                <w:bCs/>
                <w:sz w:val="22"/>
                <w:szCs w:val="22"/>
              </w:rPr>
              <w:t>HORARIOS</w:t>
            </w:r>
          </w:p>
        </w:tc>
      </w:tr>
      <w:tr>
        <w:trPr/>
        <w:tc>
          <w:tcPr>
            <w:tcW w:w="3419" w:type="dxa"/>
            <w:tcBorders>
              <w:top w:val="single" w:sz="8" w:space="0" w:color="000000"/>
              <w:left w:val="single" w:sz="8" w:space="0" w:color="000000"/>
              <w:bottom w:val="single" w:sz="8" w:space="0" w:color="000000"/>
              <w:right w:val="single" w:sz="8" w:space="0" w:color="000000"/>
            </w:tcBorders>
            <w:shd w:fill="auto" w:val="clear"/>
          </w:tcPr>
          <w:p>
            <w:pPr>
              <w:pStyle w:val="LOnormal1"/>
              <w:spacing w:lineRule="auto" w:line="276"/>
              <w:jc w:val="center"/>
              <w:rPr>
                <w:rFonts w:ascii="Arial" w:hAnsi="Arial" w:eastAsia="Arial" w:cs="Arial"/>
                <w:sz w:val="22"/>
                <w:szCs w:val="22"/>
              </w:rPr>
            </w:pPr>
            <w:r>
              <w:rPr>
                <w:rFonts w:eastAsia="Arial" w:cs="Arial" w:ascii="Arial" w:hAnsi="Arial"/>
                <w:sz w:val="22"/>
                <w:szCs w:val="22"/>
              </w:rPr>
              <w:t>Calle 11 entre Carreras 5 y 6</w:t>
            </w:r>
          </w:p>
        </w:tc>
        <w:tc>
          <w:tcPr>
            <w:tcW w:w="1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76"/>
              <w:jc w:val="center"/>
              <w:rPr>
                <w:rFonts w:ascii="Arial" w:hAnsi="Arial" w:eastAsia="Arial" w:cs="Arial"/>
                <w:sz w:val="22"/>
                <w:szCs w:val="22"/>
              </w:rPr>
            </w:pPr>
            <w:r>
              <w:rPr>
                <w:rFonts w:eastAsia="Arial" w:cs="Arial" w:ascii="Arial" w:hAnsi="Arial"/>
                <w:sz w:val="22"/>
                <w:szCs w:val="22"/>
              </w:rPr>
              <w:t>12</w:t>
            </w:r>
          </w:p>
        </w:tc>
        <w:tc>
          <w:tcPr>
            <w:tcW w:w="3854" w:type="dxa"/>
            <w:tcBorders>
              <w:top w:val="single" w:sz="8" w:space="0" w:color="000000"/>
              <w:left w:val="single" w:sz="8" w:space="0" w:color="000000"/>
              <w:bottom w:val="single" w:sz="8" w:space="0" w:color="000000"/>
              <w:right w:val="single" w:sz="8" w:space="0" w:color="000000"/>
            </w:tcBorders>
            <w:shd w:fill="auto" w:val="clear"/>
          </w:tcPr>
          <w:p>
            <w:pPr>
              <w:pStyle w:val="LOnormal1"/>
              <w:spacing w:lineRule="auto" w:line="276"/>
              <w:jc w:val="both"/>
              <w:rPr>
                <w:rFonts w:ascii="Arial" w:hAnsi="Arial" w:eastAsia="Arial" w:cs="Arial"/>
                <w:sz w:val="22"/>
                <w:szCs w:val="22"/>
              </w:rPr>
            </w:pPr>
            <w:r>
              <w:rPr>
                <w:rFonts w:eastAsia="Arial" w:cs="Arial" w:ascii="Arial" w:hAnsi="Arial"/>
                <w:sz w:val="22"/>
                <w:szCs w:val="22"/>
              </w:rPr>
              <w:t>Lunes a jueves de 10:00 am - 7:00 pm y de viernes a domingo de 10:00 am a 8:00 pm</w:t>
            </w:r>
          </w:p>
        </w:tc>
      </w:tr>
      <w:tr>
        <w:trPr/>
        <w:tc>
          <w:tcPr>
            <w:tcW w:w="3419" w:type="dxa"/>
            <w:tcBorders>
              <w:top w:val="single" w:sz="8" w:space="0" w:color="000000"/>
              <w:left w:val="single" w:sz="8" w:space="0" w:color="000000"/>
              <w:bottom w:val="single" w:sz="8" w:space="0" w:color="000000"/>
              <w:right w:val="single" w:sz="8" w:space="0" w:color="000000"/>
            </w:tcBorders>
            <w:shd w:fill="auto" w:val="clear"/>
          </w:tcPr>
          <w:p>
            <w:pPr>
              <w:pStyle w:val="LOnormal1"/>
              <w:spacing w:lineRule="auto" w:line="276"/>
              <w:jc w:val="center"/>
              <w:rPr>
                <w:rFonts w:ascii="Arial" w:hAnsi="Arial" w:eastAsia="Arial" w:cs="Arial"/>
                <w:sz w:val="22"/>
                <w:szCs w:val="22"/>
              </w:rPr>
            </w:pPr>
            <w:r>
              <w:rPr>
                <w:rFonts w:eastAsia="Arial" w:cs="Arial" w:ascii="Arial" w:hAnsi="Arial"/>
                <w:sz w:val="22"/>
                <w:szCs w:val="22"/>
              </w:rPr>
              <w:t>Calle 11 entre Carreras 6 y 7</w:t>
            </w:r>
          </w:p>
        </w:tc>
        <w:tc>
          <w:tcPr>
            <w:tcW w:w="1337" w:type="dxa"/>
            <w:tcBorders>
              <w:top w:val="single" w:sz="8" w:space="0" w:color="000000"/>
              <w:left w:val="single" w:sz="8" w:space="0" w:color="000000"/>
              <w:bottom w:val="single" w:sz="8" w:space="0" w:color="000000"/>
              <w:right w:val="single" w:sz="8" w:space="0" w:color="000000"/>
            </w:tcBorders>
            <w:shd w:fill="auto" w:val="clear"/>
          </w:tcPr>
          <w:p>
            <w:pPr>
              <w:pStyle w:val="LOnormal1"/>
              <w:widowControl w:val="false"/>
              <w:spacing w:lineRule="auto" w:line="276"/>
              <w:jc w:val="center"/>
              <w:rPr>
                <w:rFonts w:ascii="Arial" w:hAnsi="Arial" w:eastAsia="Arial" w:cs="Arial"/>
                <w:sz w:val="22"/>
                <w:szCs w:val="22"/>
              </w:rPr>
            </w:pPr>
            <w:r>
              <w:rPr>
                <w:rFonts w:eastAsia="Arial" w:cs="Arial" w:ascii="Arial" w:hAnsi="Arial"/>
                <w:sz w:val="22"/>
                <w:szCs w:val="22"/>
              </w:rPr>
              <w:t>6</w:t>
            </w:r>
          </w:p>
        </w:tc>
        <w:tc>
          <w:tcPr>
            <w:tcW w:w="3854" w:type="dxa"/>
            <w:tcBorders>
              <w:top w:val="single" w:sz="8" w:space="0" w:color="000000"/>
              <w:left w:val="single" w:sz="8" w:space="0" w:color="000000"/>
              <w:bottom w:val="single" w:sz="8" w:space="0" w:color="000000"/>
              <w:right w:val="single" w:sz="8" w:space="0" w:color="000000"/>
            </w:tcBorders>
            <w:shd w:fill="auto" w:val="clear"/>
          </w:tcPr>
          <w:p>
            <w:pPr>
              <w:pStyle w:val="LOnormal1"/>
              <w:spacing w:lineRule="auto" w:line="276"/>
              <w:jc w:val="both"/>
              <w:rPr>
                <w:rFonts w:ascii="Arial" w:hAnsi="Arial" w:eastAsia="Arial" w:cs="Arial"/>
                <w:sz w:val="22"/>
                <w:szCs w:val="22"/>
              </w:rPr>
            </w:pPr>
            <w:r>
              <w:rPr>
                <w:rFonts w:eastAsia="Arial" w:cs="Arial" w:ascii="Arial" w:hAnsi="Arial"/>
                <w:sz w:val="22"/>
                <w:szCs w:val="22"/>
              </w:rPr>
              <w:t>Lunes a jueves de 10:00 am - 7:00 pm y de viernes a domingo de 10:00 am a 8:00 pm</w:t>
            </w:r>
          </w:p>
        </w:tc>
      </w:tr>
    </w:tbl>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tabs>
          <w:tab w:val="clear" w:pos="720"/>
          <w:tab w:val="left" w:pos="2135" w:leader="none"/>
        </w:tabs>
        <w:spacing w:lineRule="auto" w:line="276"/>
        <w:jc w:val="both"/>
        <w:rPr>
          <w:rFonts w:ascii="Arial" w:hAnsi="Arial" w:eastAsia="Arial" w:cs="Arial"/>
          <w:sz w:val="22"/>
          <w:szCs w:val="22"/>
        </w:rPr>
      </w:pPr>
      <w:r>
        <w:rPr>
          <w:rFonts w:eastAsia="Arial" w:cs="Arial" w:ascii="Arial" w:hAnsi="Arial"/>
          <w:b/>
          <w:bCs/>
          <w:sz w:val="22"/>
          <w:szCs w:val="22"/>
        </w:rPr>
        <w:t xml:space="preserve">Artículo 3°. Rotación. </w:t>
      </w:r>
      <w:r>
        <w:rPr>
          <w:rFonts w:eastAsia="Arial" w:cs="Arial" w:ascii="Arial" w:hAnsi="Arial"/>
          <w:sz w:val="22"/>
          <w:szCs w:val="22"/>
        </w:rPr>
        <w:t xml:space="preserve">Para garantizar el uso adecuado del espacio público, cada uno de los espacios destinados para los hacedores de oficios artesanales serán temporales y no tendrán derechos de permanencia. </w:t>
      </w:r>
    </w:p>
    <w:p>
      <w:pPr>
        <w:pStyle w:val="LOnormal1"/>
        <w:tabs>
          <w:tab w:val="clear" w:pos="720"/>
          <w:tab w:val="left" w:pos="2135" w:leader="none"/>
        </w:tabs>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jc w:val="both"/>
        <w:rPr>
          <w:rFonts w:ascii="Arial" w:hAnsi="Arial" w:eastAsia="Arial" w:cs="Arial"/>
          <w:sz w:val="22"/>
          <w:szCs w:val="22"/>
        </w:rPr>
      </w:pPr>
      <w:r>
        <w:rPr>
          <w:rFonts w:eastAsia="Arial" w:cs="Arial" w:ascii="Arial" w:hAnsi="Arial"/>
          <w:b/>
          <w:bCs/>
          <w:sz w:val="22"/>
          <w:szCs w:val="22"/>
        </w:rPr>
        <w:t>Artículo 4</w:t>
      </w:r>
      <w:r>
        <w:rPr>
          <w:rFonts w:eastAsia="Arial" w:cs="Arial" w:ascii="Arial" w:hAnsi="Arial"/>
          <w:b/>
          <w:bCs/>
          <w:sz w:val="22"/>
          <w:szCs w:val="22"/>
          <w:vertAlign w:val="superscript"/>
        </w:rPr>
        <w:t>o</w:t>
      </w:r>
      <w:r>
        <w:rPr>
          <w:rFonts w:eastAsia="Arial" w:cs="Arial" w:ascii="Arial" w:hAnsi="Arial"/>
          <w:b/>
          <w:bCs/>
          <w:sz w:val="22"/>
          <w:szCs w:val="22"/>
        </w:rPr>
        <w:t xml:space="preserve">. Temporalidad. </w:t>
      </w:r>
      <w:r>
        <w:rPr>
          <w:rFonts w:eastAsia="Arial" w:cs="Arial" w:ascii="Arial" w:hAnsi="Arial"/>
          <w:sz w:val="22"/>
          <w:szCs w:val="22"/>
        </w:rPr>
        <w:t>De acuerdo con la rotación, el permiso de aprovechamiento económico en esta zona tendrá vigencia de tres (3) meses, sin sobrepasar los seis (6) meses.</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jc w:val="both"/>
        <w:rPr/>
      </w:pPr>
      <w:r>
        <w:rPr>
          <w:rFonts w:eastAsia="Arial" w:cs="Arial" w:ascii="Arial" w:hAnsi="Arial"/>
          <w:b/>
          <w:bCs/>
          <w:sz w:val="22"/>
          <w:szCs w:val="22"/>
        </w:rPr>
        <w:t xml:space="preserve">Parágrafo: </w:t>
      </w:r>
      <w:r>
        <w:rPr>
          <w:rFonts w:eastAsia="Arial" w:cs="Arial" w:ascii="Arial" w:hAnsi="Arial"/>
          <w:sz w:val="22"/>
          <w:szCs w:val="22"/>
        </w:rPr>
        <w:t xml:space="preserve">Una vez finalice este plazo, el hacedor de oficios artesanales deberá solicitar ante la Secretaría de Cultura, Recreación y Deporte (SCRD) un nuevo permiso para ubicarse en la zona en mención. Esta inscripción está sujeta al registro y aprobación en la plataforma </w:t>
      </w:r>
      <w:hyperlink r:id="rId2">
        <w:r>
          <w:rPr>
            <w:rStyle w:val="Style"/>
            <w:rFonts w:eastAsia="Arial" w:cs="Arial" w:ascii="Arial" w:hAnsi="Arial"/>
            <w:color w:val="1155CC"/>
            <w:sz w:val="22"/>
            <w:szCs w:val="22"/>
            <w:u w:val="single"/>
          </w:rPr>
          <w:t>https://dev-nuevo-ecosistema-cultural.scrd.gov.co/public/home</w:t>
        </w:r>
      </w:hyperlink>
      <w:r>
        <w:rPr>
          <w:rFonts w:eastAsia="Arial" w:cs="Arial" w:ascii="Arial" w:hAnsi="Arial"/>
          <w:sz w:val="22"/>
          <w:szCs w:val="22"/>
        </w:rPr>
        <w:t xml:space="preserve"> </w:t>
      </w:r>
    </w:p>
    <w:p>
      <w:pPr>
        <w:pStyle w:val="LOnormal1"/>
        <w:spacing w:lineRule="auto" w:line="276"/>
        <w:jc w:val="both"/>
        <w:rPr>
          <w:rFonts w:ascii="Arial" w:hAnsi="Arial" w:eastAsia="Arial" w:cs="Arial"/>
          <w:b/>
          <w:b/>
          <w:bCs/>
          <w:sz w:val="22"/>
          <w:szCs w:val="22"/>
        </w:rPr>
      </w:pPr>
      <w:r>
        <w:rPr>
          <w:rFonts w:eastAsia="Arial" w:cs="Arial" w:ascii="Arial" w:hAnsi="Arial"/>
          <w:b/>
          <w:bCs/>
          <w:sz w:val="22"/>
          <w:szCs w:val="22"/>
        </w:rPr>
      </w:r>
    </w:p>
    <w:p>
      <w:pPr>
        <w:pStyle w:val="LOnormal1"/>
        <w:tabs>
          <w:tab w:val="clear" w:pos="720"/>
          <w:tab w:val="left" w:pos="6507" w:leader="none"/>
        </w:tabs>
        <w:spacing w:lineRule="auto" w:line="276"/>
        <w:ind w:right="-142" w:hanging="0"/>
        <w:jc w:val="both"/>
        <w:rPr/>
      </w:pPr>
      <w:r>
        <w:rPr>
          <w:rFonts w:eastAsia="Arial" w:cs="Arial" w:ascii="Arial" w:hAnsi="Arial"/>
          <w:b/>
          <w:bCs/>
          <w:sz w:val="22"/>
          <w:szCs w:val="22"/>
        </w:rPr>
        <w:t>Artículo 5°</w:t>
      </w:r>
      <w:r>
        <w:rPr>
          <w:rFonts w:eastAsia="Arial" w:cs="Arial" w:ascii="Arial" w:hAnsi="Arial"/>
          <w:sz w:val="22"/>
          <w:szCs w:val="22"/>
        </w:rPr>
        <w:t xml:space="preserve">. </w:t>
      </w:r>
      <w:r>
        <w:rPr>
          <w:rFonts w:eastAsia="Arial" w:cs="Arial" w:ascii="Arial" w:hAnsi="Arial"/>
          <w:sz w:val="22"/>
          <w:szCs w:val="22"/>
          <w:highlight w:val="white"/>
        </w:rPr>
        <w:t xml:space="preserve">Comuníquese por la Dirección de Gestión Corporativa y Relación con el Ciudadano de la SCRD, </w:t>
      </w:r>
      <w:r>
        <w:rPr>
          <w:rFonts w:eastAsia="Arial" w:cs="Arial" w:ascii="Arial" w:hAnsi="Arial"/>
          <w:sz w:val="22"/>
          <w:szCs w:val="22"/>
        </w:rPr>
        <w:t xml:space="preserve"> al Instituto de Desarrollo Urbano (IDU), en calidad de entidad administradora, al correo institucional </w:t>
      </w:r>
      <w:hyperlink r:id="rId3">
        <w:r>
          <w:rPr>
            <w:rStyle w:val="Style"/>
            <w:rFonts w:eastAsia="Arial" w:cs="Arial" w:ascii="Arial" w:hAnsi="Arial"/>
            <w:color w:val="1155CC"/>
            <w:sz w:val="22"/>
            <w:szCs w:val="22"/>
            <w:u w:val="single"/>
          </w:rPr>
          <w:t>correspondencia@idu.gov.co</w:t>
        </w:r>
      </w:hyperlink>
      <w:r>
        <w:rPr>
          <w:rFonts w:eastAsia="Arial" w:cs="Arial" w:ascii="Arial" w:hAnsi="Arial"/>
          <w:sz w:val="22"/>
          <w:szCs w:val="22"/>
        </w:rPr>
        <w:t xml:space="preserve">., y al Instituto Distrital de Patrimonio IDPC al correo institucional </w:t>
      </w:r>
      <w:r>
        <w:rPr>
          <w:rFonts w:cs="Arial" w:ascii="Arial" w:hAnsi="Arial"/>
          <w:color w:val="000000"/>
          <w:sz w:val="22"/>
          <w:szCs w:val="22"/>
        </w:rPr>
        <w:t>correspondencia@idpc.gov.co</w:t>
      </w:r>
      <w:r>
        <w:rPr>
          <w:rFonts w:eastAsia="Arial" w:cs="Arial" w:ascii="Arial" w:hAnsi="Arial"/>
          <w:sz w:val="22"/>
          <w:szCs w:val="22"/>
        </w:rPr>
        <w:t xml:space="preserve"> para su conocimiento y fines pertinentes.</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ind w:right="-142" w:hanging="0"/>
        <w:jc w:val="both"/>
        <w:rPr>
          <w:rFonts w:ascii="Arial" w:hAnsi="Arial" w:cs="Arial"/>
          <w:sz w:val="22"/>
          <w:szCs w:val="22"/>
        </w:rPr>
      </w:pPr>
      <w:r>
        <w:rPr>
          <w:rFonts w:eastAsia="Arial" w:cs="Arial" w:ascii="Arial" w:hAnsi="Arial"/>
          <w:b/>
          <w:bCs/>
          <w:sz w:val="22"/>
          <w:szCs w:val="22"/>
        </w:rPr>
        <w:t>Artículo 6°. Publicaciones.</w:t>
      </w:r>
      <w:r>
        <w:rPr>
          <w:rFonts w:eastAsia="Arial" w:cs="Arial" w:ascii="Arial" w:hAnsi="Arial"/>
          <w:sz w:val="22"/>
          <w:szCs w:val="22"/>
        </w:rPr>
        <w:t xml:space="preserve"> Solicitar a la Dirección de Gestión Corporativa y Relación con el Ciudadano de la SCRD publicar la presente resolución en la página Web de la Secretaría Distrital de Cultura, Recreación y Deporte, la Gaceta Distrital y en el Régimen Legal de Bogotá.</w:t>
      </w:r>
    </w:p>
    <w:p>
      <w:pPr>
        <w:pStyle w:val="LOnormal1"/>
        <w:spacing w:lineRule="auto" w:line="276"/>
        <w:ind w:right="-142" w:hanging="0"/>
        <w:jc w:val="both"/>
        <w:rPr>
          <w:rFonts w:ascii="Arial" w:hAnsi="Arial" w:eastAsia="Arial" w:cs="Arial"/>
          <w:b/>
          <w:b/>
          <w:bCs/>
          <w:sz w:val="22"/>
          <w:szCs w:val="22"/>
        </w:rPr>
      </w:pPr>
      <w:r>
        <w:rPr>
          <w:rFonts w:eastAsia="Arial" w:cs="Arial" w:ascii="Arial" w:hAnsi="Arial"/>
          <w:b/>
          <w:bCs/>
          <w:sz w:val="22"/>
          <w:szCs w:val="22"/>
        </w:rPr>
      </w:r>
    </w:p>
    <w:p>
      <w:pPr>
        <w:pStyle w:val="LOnormal1"/>
        <w:spacing w:lineRule="auto" w:line="276"/>
        <w:ind w:right="-142" w:hanging="0"/>
        <w:jc w:val="both"/>
        <w:rPr/>
      </w:pPr>
      <w:r>
        <w:rPr>
          <w:rFonts w:eastAsia="Arial" w:cs="Arial" w:ascii="Arial" w:hAnsi="Arial"/>
          <w:b/>
          <w:bCs/>
          <w:sz w:val="22"/>
          <w:szCs w:val="22"/>
        </w:rPr>
        <w:t>Artículo 7°.Vigencia.</w:t>
      </w:r>
      <w:r>
        <w:rPr>
          <w:rFonts w:eastAsia="Arial" w:cs="Arial" w:ascii="Arial" w:hAnsi="Arial"/>
          <w:sz w:val="22"/>
          <w:szCs w:val="22"/>
        </w:rPr>
        <w:t xml:space="preserve"> La presente Resolución rige a partir del día siguiente de su publicación y contra la misma no procede recurso alguno en los términos del artículo </w:t>
      </w:r>
      <w:r>
        <w:fldChar w:fldCharType="begin"/>
      </w:r>
      <w:r>
        <w:rPr>
          <w:rStyle w:val="Style"/>
          <w:sz w:val="22"/>
          <w:szCs w:val="22"/>
          <w:rFonts w:eastAsia="Arial" w:cs="Arial" w:ascii="Arial" w:hAnsi="Arial"/>
        </w:rPr>
        <w:instrText> HYPERLINK "https://www.alcaldiabogota.gov.co/sisjur//normas/Norma1.jsp?i=41249" \l "75"</w:instrText>
      </w:r>
      <w:r>
        <w:rPr>
          <w:rStyle w:val="Style"/>
          <w:sz w:val="22"/>
          <w:szCs w:val="22"/>
          <w:rFonts w:eastAsia="Arial" w:cs="Arial" w:ascii="Arial" w:hAnsi="Arial"/>
        </w:rPr>
        <w:fldChar w:fldCharType="separate"/>
      </w:r>
      <w:r>
        <w:rPr>
          <w:rStyle w:val="Style"/>
          <w:rFonts w:eastAsia="Arial" w:cs="Arial" w:ascii="Arial" w:hAnsi="Arial"/>
          <w:sz w:val="22"/>
          <w:szCs w:val="22"/>
        </w:rPr>
        <w:t>75</w:t>
      </w:r>
      <w:r>
        <w:rPr>
          <w:rStyle w:val="Style"/>
          <w:sz w:val="22"/>
          <w:szCs w:val="22"/>
          <w:rFonts w:eastAsia="Arial" w:cs="Arial" w:ascii="Arial" w:hAnsi="Arial"/>
        </w:rPr>
        <w:fldChar w:fldCharType="end"/>
      </w:r>
      <w:r>
        <w:rPr>
          <w:rFonts w:eastAsia="Arial" w:cs="Arial" w:ascii="Arial" w:hAnsi="Arial"/>
          <w:sz w:val="22"/>
          <w:szCs w:val="22"/>
        </w:rPr>
        <w:t xml:space="preserve"> del CPACA. </w:t>
      </w:r>
    </w:p>
    <w:p>
      <w:pPr>
        <w:pStyle w:val="LOnormal1"/>
        <w:spacing w:lineRule="auto" w:line="276"/>
        <w:jc w:val="both"/>
        <w:rPr>
          <w:rFonts w:ascii="Arial" w:hAnsi="Arial" w:eastAsia="Arial" w:cs="Arial"/>
          <w:sz w:val="22"/>
          <w:szCs w:val="22"/>
        </w:rPr>
      </w:pPr>
      <w:r>
        <w:rPr>
          <w:rFonts w:eastAsia="Arial" w:cs="Arial" w:ascii="Arial" w:hAnsi="Arial"/>
          <w:sz w:val="22"/>
          <w:szCs w:val="22"/>
        </w:rPr>
      </w:r>
    </w:p>
    <w:p>
      <w:pPr>
        <w:pStyle w:val="LOnormal1"/>
        <w:spacing w:lineRule="auto" w:line="276"/>
        <w:ind w:right="-142" w:hanging="2"/>
        <w:jc w:val="center"/>
        <w:rPr>
          <w:rFonts w:ascii="Arial" w:hAnsi="Arial" w:eastAsia="Arial" w:cs="Arial"/>
          <w:sz w:val="22"/>
          <w:szCs w:val="22"/>
        </w:rPr>
      </w:pPr>
      <w:r>
        <w:rPr>
          <w:rFonts w:eastAsia="Arial" w:cs="Arial" w:ascii="Arial" w:hAnsi="Arial"/>
          <w:sz w:val="22"/>
          <w:szCs w:val="22"/>
        </w:rPr>
        <w:t>PUBLÍQUESE, COMUNÍQUESE Y CÚMPLASE.</w:t>
      </w:r>
    </w:p>
    <w:p>
      <w:pPr>
        <w:pStyle w:val="LOnormal1"/>
        <w:spacing w:lineRule="auto" w:line="276"/>
        <w:ind w:right="-142" w:hanging="2"/>
        <w:jc w:val="center"/>
        <w:rPr>
          <w:rFonts w:ascii="Arial" w:hAnsi="Arial" w:eastAsia="Arial" w:cs="Arial"/>
          <w:sz w:val="22"/>
          <w:szCs w:val="22"/>
        </w:rPr>
      </w:pPr>
      <w:r>
        <w:rPr>
          <w:rFonts w:eastAsia="Arial" w:cs="Arial" w:ascii="Arial" w:hAnsi="Arial"/>
          <w:sz w:val="22"/>
          <w:szCs w:val="22"/>
        </w:rPr>
      </w:r>
    </w:p>
    <w:p>
      <w:pPr>
        <w:pStyle w:val="LOnormal1"/>
        <w:spacing w:lineRule="auto" w:line="276"/>
        <w:ind w:right="-142" w:hanging="2"/>
        <w:jc w:val="both"/>
        <w:rPr>
          <w:rFonts w:ascii="Arial" w:hAnsi="Arial" w:eastAsia="Arial" w:cs="Arial"/>
          <w:sz w:val="22"/>
          <w:szCs w:val="22"/>
        </w:rPr>
      </w:pPr>
      <w:r>
        <w:rPr>
          <w:rFonts w:eastAsia="Arial" w:cs="Arial" w:ascii="Arial" w:hAnsi="Arial"/>
          <w:sz w:val="22"/>
          <w:szCs w:val="22"/>
        </w:rPr>
        <w:t xml:space="preserve">Dado en Bogotá D. C., en </w:t>
      </w:r>
    </w:p>
    <w:p>
      <w:pPr>
        <w:pStyle w:val="LOnormal1"/>
        <w:spacing w:lineRule="auto" w:line="276"/>
        <w:ind w:right="-142" w:hanging="2"/>
        <w:jc w:val="both"/>
        <w:rPr>
          <w:rFonts w:ascii="Arial" w:hAnsi="Arial" w:eastAsia="Arial" w:cs="Arial"/>
          <w:sz w:val="22"/>
          <w:szCs w:val="22"/>
        </w:rPr>
      </w:pPr>
      <w:r>
        <w:rPr>
          <w:rFonts w:eastAsia="Arial" w:cs="Arial" w:ascii="Arial" w:hAnsi="Arial"/>
          <w:sz w:val="22"/>
          <w:szCs w:val="22"/>
        </w:rPr>
      </w:r>
    </w:p>
    <w:p>
      <w:pPr>
        <w:pStyle w:val="LOnormal1"/>
        <w:spacing w:lineRule="auto" w:line="276"/>
        <w:ind w:right="-142" w:hanging="2"/>
        <w:jc w:val="both"/>
        <w:rPr>
          <w:rFonts w:ascii="Arial" w:hAnsi="Arial" w:eastAsia="Arial" w:cs="Arial"/>
          <w:sz w:val="22"/>
          <w:szCs w:val="22"/>
        </w:rPr>
      </w:pPr>
      <w:r>
        <w:rPr>
          <w:rFonts w:eastAsia="Arial" w:cs="Arial" w:ascii="Arial" w:hAnsi="Arial"/>
          <w:sz w:val="22"/>
          <w:szCs w:val="22"/>
        </w:rPr>
      </w:r>
    </w:p>
    <w:p>
      <w:pPr>
        <w:pStyle w:val="LOnormal1"/>
        <w:spacing w:lineRule="auto" w:line="276"/>
        <w:ind w:right="-142" w:hanging="2"/>
        <w:jc w:val="both"/>
        <w:rPr>
          <w:rFonts w:ascii="Arial" w:hAnsi="Arial" w:eastAsia="Arial" w:cs="Arial"/>
          <w:b/>
          <w:b/>
          <w:bCs/>
          <w:sz w:val="22"/>
          <w:szCs w:val="22"/>
        </w:rPr>
      </w:pPr>
      <w:r>
        <w:rPr>
          <w:rFonts w:eastAsia="Arial" w:cs="Arial" w:ascii="Arial" w:hAnsi="Arial"/>
          <w:b/>
          <w:bCs/>
          <w:sz w:val="22"/>
          <w:szCs w:val="22"/>
        </w:rPr>
      </w:r>
    </w:p>
    <w:p>
      <w:pPr>
        <w:pStyle w:val="LOnormal1"/>
        <w:spacing w:lineRule="auto" w:line="276"/>
        <w:ind w:right="-142" w:hanging="2"/>
        <w:jc w:val="center"/>
        <w:rPr>
          <w:rFonts w:ascii="Arial" w:hAnsi="Arial" w:eastAsia="Arial" w:cs="Arial"/>
          <w:b/>
          <w:b/>
          <w:bCs/>
          <w:sz w:val="22"/>
          <w:szCs w:val="22"/>
        </w:rPr>
      </w:pPr>
      <w:r>
        <w:rPr>
          <w:rFonts w:eastAsia="Arial" w:cs="Arial" w:ascii="Arial" w:hAnsi="Arial"/>
          <w:b/>
          <w:bCs/>
          <w:sz w:val="22"/>
          <w:szCs w:val="22"/>
        </w:rPr>
        <w:t>SANTIAGO TRUJILLO ESCOBAR</w:t>
      </w:r>
    </w:p>
    <w:p>
      <w:pPr>
        <w:pStyle w:val="LOnormal1"/>
        <w:spacing w:lineRule="auto" w:line="276"/>
        <w:ind w:right="-142" w:hanging="2"/>
        <w:jc w:val="center"/>
        <w:rPr>
          <w:rFonts w:ascii="Arial" w:hAnsi="Arial" w:eastAsia="Arial" w:cs="Arial"/>
          <w:b/>
          <w:b/>
          <w:bCs/>
          <w:sz w:val="22"/>
          <w:szCs w:val="22"/>
        </w:rPr>
      </w:pPr>
      <w:r>
        <w:rPr>
          <w:rFonts w:eastAsia="Arial" w:cs="Arial" w:ascii="Arial" w:hAnsi="Arial"/>
          <w:b/>
          <w:bCs/>
          <w:sz w:val="22"/>
          <w:szCs w:val="22"/>
        </w:rPr>
        <w:t xml:space="preserve">Secretario de Despacho </w:t>
      </w:r>
    </w:p>
    <w:p>
      <w:pPr>
        <w:pStyle w:val="LOnormal1"/>
        <w:spacing w:lineRule="auto" w:line="276"/>
        <w:ind w:right="-142" w:hanging="2"/>
        <w:jc w:val="center"/>
        <w:rPr>
          <w:rFonts w:ascii="Arial" w:hAnsi="Arial" w:eastAsia="Arial" w:cs="Arial"/>
          <w:b/>
          <w:b/>
          <w:bCs/>
          <w:sz w:val="22"/>
          <w:szCs w:val="22"/>
        </w:rPr>
      </w:pPr>
      <w:r>
        <w:rPr>
          <w:rFonts w:eastAsia="Arial" w:cs="Arial" w:ascii="Arial" w:hAnsi="Arial"/>
          <w:b/>
          <w:bCs/>
          <w:sz w:val="22"/>
          <w:szCs w:val="22"/>
        </w:rPr>
        <w:t>Secretaría Distrital de Cultura, Recreación y Deporte</w:t>
      </w:r>
    </w:p>
    <w:p>
      <w:pPr>
        <w:pStyle w:val="LOnormal1"/>
        <w:jc w:val="both"/>
        <w:rPr>
          <w:rFonts w:ascii="Arial" w:hAnsi="Arial" w:eastAsia="Arial" w:cs="Arial"/>
          <w:sz w:val="22"/>
          <w:szCs w:val="22"/>
        </w:rPr>
      </w:pPr>
      <w:r>
        <w:rPr>
          <w:rFonts w:eastAsia="Arial" w:cs="Arial" w:ascii="Arial" w:hAnsi="Arial"/>
          <w:sz w:val="22"/>
          <w:szCs w:val="22"/>
        </w:rPr>
      </w:r>
    </w:p>
    <w:p>
      <w:pPr>
        <w:pStyle w:val="LOnormal1"/>
        <w:jc w:val="both"/>
        <w:rPr>
          <w:rFonts w:ascii="Arial" w:hAnsi="Arial" w:eastAsia="Arial" w:cs="Arial"/>
          <w:sz w:val="16"/>
          <w:szCs w:val="16"/>
        </w:rPr>
      </w:pPr>
      <w:r>
        <w:rPr>
          <w:rFonts w:eastAsia="Arial" w:cs="Arial" w:ascii="Arial" w:hAnsi="Arial"/>
          <w:sz w:val="16"/>
          <w:szCs w:val="16"/>
        </w:rPr>
      </w:r>
    </w:p>
    <w:p>
      <w:pPr>
        <w:pStyle w:val="LOnormal1"/>
        <w:jc w:val="both"/>
        <w:rPr>
          <w:rFonts w:ascii="Arial" w:hAnsi="Arial" w:eastAsia="Arial" w:cs="Arial"/>
          <w:sz w:val="16"/>
          <w:szCs w:val="16"/>
        </w:rPr>
      </w:pPr>
      <w:r>
        <w:rPr>
          <w:rFonts w:eastAsia="Arial" w:cs="Arial" w:ascii="Arial" w:hAnsi="Arial"/>
          <w:sz w:val="16"/>
          <w:szCs w:val="16"/>
        </w:rPr>
        <w:t>Proyectó: Eduardo Meza Cuesta - Contratista - Contratista SGCA</w:t>
      </w:r>
    </w:p>
    <w:p>
      <w:pPr>
        <w:pStyle w:val="LOnormal1"/>
        <w:jc w:val="both"/>
        <w:rPr>
          <w:rFonts w:ascii="Arial" w:hAnsi="Arial" w:eastAsia="Arial" w:cs="Arial"/>
          <w:sz w:val="16"/>
          <w:szCs w:val="16"/>
        </w:rPr>
      </w:pPr>
      <w:r>
        <w:rPr>
          <w:rFonts w:eastAsia="Arial" w:cs="Arial" w:ascii="Arial" w:hAnsi="Arial"/>
          <w:sz w:val="16"/>
          <w:szCs w:val="16"/>
        </w:rPr>
        <w:t xml:space="preserve">                </w:t>
      </w:r>
      <w:r>
        <w:rPr>
          <w:rFonts w:eastAsia="Arial" w:cs="Arial" w:ascii="Arial" w:hAnsi="Arial"/>
          <w:sz w:val="16"/>
          <w:szCs w:val="16"/>
        </w:rPr>
        <w:t>Grecya Alejandra Herrera - Contratista -Contratista SGCA</w:t>
      </w:r>
    </w:p>
    <w:p>
      <w:pPr>
        <w:pStyle w:val="LOnormal1"/>
        <w:spacing w:lineRule="auto" w:line="276"/>
        <w:ind w:right="-142" w:hanging="2"/>
        <w:jc w:val="both"/>
        <w:rPr>
          <w:rFonts w:ascii="Arial" w:hAnsi="Arial" w:eastAsia="Arial" w:cs="Arial"/>
          <w:sz w:val="14"/>
          <w:szCs w:val="14"/>
        </w:rPr>
      </w:pPr>
      <w:r>
        <w:rPr>
          <w:rFonts w:eastAsia="Arial" w:cs="Arial" w:ascii="Arial" w:hAnsi="Arial"/>
          <w:sz w:val="16"/>
          <w:szCs w:val="16"/>
        </w:rPr>
        <w:t xml:space="preserve">                </w:t>
      </w:r>
      <w:r>
        <w:rPr>
          <w:rFonts w:eastAsia="Arial" w:cs="Arial" w:ascii="Arial" w:hAnsi="Arial"/>
          <w:sz w:val="16"/>
          <w:szCs w:val="16"/>
        </w:rPr>
        <w:t xml:space="preserve">Sandra Carolina Cortés Vargas- Contratista SGCA </w:t>
        <w:br/>
      </w:r>
      <w:r>
        <w:rPr>
          <w:rFonts w:eastAsia="Arial" w:cs="Arial" w:ascii="Arial" w:hAnsi="Arial"/>
          <w:sz w:val="14"/>
          <w:szCs w:val="14"/>
        </w:rPr>
        <w:t xml:space="preserve">                  </w:t>
      </w:r>
      <w:r>
        <w:rPr>
          <w:rFonts w:eastAsia="Arial" w:cs="Arial" w:ascii="Arial" w:hAnsi="Arial"/>
          <w:sz w:val="16"/>
          <w:szCs w:val="16"/>
        </w:rPr>
        <w:t xml:space="preserve">Lía Cabarcas - Contratista DACP </w:t>
      </w:r>
    </w:p>
    <w:p>
      <w:pPr>
        <w:pStyle w:val="LOnormal1"/>
        <w:spacing w:lineRule="auto" w:line="276"/>
        <w:ind w:right="-142" w:hanging="0"/>
        <w:jc w:val="both"/>
        <w:rPr>
          <w:rFonts w:ascii="Arial" w:hAnsi="Arial" w:eastAsia="Arial" w:cs="Arial"/>
          <w:sz w:val="16"/>
          <w:szCs w:val="16"/>
        </w:rPr>
      </w:pPr>
      <w:r>
        <w:rPr>
          <w:rFonts w:eastAsia="Arial" w:cs="Arial" w:ascii="Arial" w:hAnsi="Arial"/>
          <w:sz w:val="16"/>
          <w:szCs w:val="16"/>
        </w:rPr>
        <w:t>Revisó. Adriana María Botero. Subdirectora de Gestión Cultural y Artística</w:t>
      </w:r>
    </w:p>
    <w:p>
      <w:pPr>
        <w:pStyle w:val="LOnormal1"/>
        <w:spacing w:lineRule="auto" w:line="276"/>
        <w:ind w:right="-142" w:hanging="0"/>
        <w:jc w:val="both"/>
        <w:rPr/>
      </w:pPr>
      <w:r>
        <w:rPr>
          <w:rFonts w:eastAsia="Arial" w:cs="Arial" w:ascii="Arial" w:hAnsi="Arial"/>
          <w:sz w:val="16"/>
          <w:szCs w:val="16"/>
        </w:rPr>
        <w:t xml:space="preserve">             </w:t>
      </w:r>
      <w:r>
        <w:rPr>
          <w:rFonts w:eastAsia="Arial" w:cs="Arial" w:ascii="Arial" w:hAnsi="Arial"/>
          <w:sz w:val="16"/>
          <w:szCs w:val="16"/>
        </w:rPr>
        <w:t xml:space="preserve">Martha Reyes Castillo. Profesional Especializada Oficina Jurídica </w:t>
      </w:r>
    </w:p>
    <w:p>
      <w:pPr>
        <w:pStyle w:val="LOnormal1"/>
        <w:spacing w:lineRule="auto" w:line="276"/>
        <w:ind w:right="-142" w:hanging="0"/>
        <w:jc w:val="both"/>
        <w:rPr/>
      </w:pPr>
      <w:r>
        <w:rPr>
          <w:rFonts w:eastAsia="Arial" w:cs="Arial" w:ascii="Arial" w:hAnsi="Arial"/>
          <w:sz w:val="16"/>
          <w:szCs w:val="16"/>
        </w:rPr>
        <w:t xml:space="preserve">             </w:t>
      </w:r>
      <w:r>
        <w:rPr>
          <w:rFonts w:eastAsia="Arial" w:cs="Arial" w:ascii="Arial" w:hAnsi="Arial"/>
          <w:sz w:val="16"/>
          <w:szCs w:val="16"/>
        </w:rPr>
        <w:t xml:space="preserve">Sandra Margoth Vélez Abello.  Jefe de la Oficina  </w:t>
      </w:r>
    </w:p>
    <w:p>
      <w:pPr>
        <w:pStyle w:val="LOnormal1"/>
        <w:spacing w:lineRule="auto" w:line="276"/>
        <w:ind w:right="-142" w:hanging="0"/>
        <w:jc w:val="both"/>
        <w:rPr>
          <w:rFonts w:ascii="Arial" w:hAnsi="Arial" w:eastAsia="Arial" w:cs="Arial"/>
          <w:sz w:val="16"/>
          <w:szCs w:val="16"/>
        </w:rPr>
      </w:pPr>
      <w:r>
        <w:rPr>
          <w:rFonts w:eastAsia="Arial" w:cs="Arial" w:ascii="Arial" w:hAnsi="Arial"/>
          <w:sz w:val="16"/>
          <w:szCs w:val="16"/>
        </w:rPr>
        <w:t xml:space="preserve">Aprobó. Nathalia Rippe Sierra. Directora de Arte, Cultura y Patrimonio </w:t>
      </w:r>
    </w:p>
    <w:p>
      <w:pPr>
        <w:pStyle w:val="LOnormal1"/>
        <w:spacing w:lineRule="auto" w:line="276"/>
        <w:ind w:right="-142" w:hanging="0"/>
        <w:jc w:val="both"/>
        <w:rPr>
          <w:rFonts w:ascii="Arial" w:hAnsi="Arial" w:eastAsia="Arial" w:cs="Arial"/>
          <w:sz w:val="14"/>
          <w:szCs w:val="14"/>
        </w:rPr>
      </w:pPr>
      <w:r>
        <w:rPr>
          <w:rFonts w:eastAsia="Arial" w:cs="Arial" w:ascii="Arial" w:hAnsi="Arial"/>
          <w:sz w:val="16"/>
          <w:szCs w:val="16"/>
        </w:rPr>
        <w:t xml:space="preserve"> </w:t>
      </w:r>
    </w:p>
    <w:p>
      <w:pPr>
        <w:pStyle w:val="LOnormal1"/>
        <w:tabs>
          <w:tab w:val="clear" w:pos="720"/>
          <w:tab w:val="left" w:pos="2135" w:leader="none"/>
        </w:tabs>
        <w:rPr/>
      </w:pPr>
      <w:r>
        <w:rPr/>
      </w:r>
    </w:p>
    <w:sectPr>
      <w:headerReference w:type="default" r:id="rId4"/>
      <w:footerReference w:type="default" r:id="rId5"/>
      <w:type w:val="nextPage"/>
      <w:pgSz w:w="12240" w:h="15840"/>
      <w:pgMar w:left="1701" w:right="1701" w:header="567" w:top="1417" w:footer="624" w:bottom="1417"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0"/>
    <w:family w:val="roman"/>
    <w:pitch w:val="variable"/>
  </w:font>
  <w:font w:name="Code3of9">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widowControl w:val="false"/>
      <w:spacing w:lineRule="auto" w:line="276"/>
      <w:rPr>
        <w:rFonts w:ascii="Arial" w:hAnsi="Arial" w:eastAsia="Arial" w:cs="Arial"/>
        <w:color w:val="000000"/>
        <w:sz w:val="8"/>
        <w:szCs w:val="8"/>
      </w:rPr>
    </w:pPr>
    <w:r>
      <w:rPr>
        <w:rFonts w:eastAsia="Arial" w:cs="Arial" w:ascii="Arial" w:hAnsi="Arial"/>
        <w:color w:val="000000"/>
        <w:sz w:val="8"/>
        <w:szCs w:val="8"/>
      </w:rPr>
    </w:r>
  </w:p>
  <w:tbl>
    <w:tblPr>
      <w:tblW w:w="8838" w:type="dxa"/>
      <w:jc w:val="left"/>
      <w:tblInd w:w="0" w:type="dxa"/>
      <w:tblCellMar>
        <w:top w:w="0" w:type="dxa"/>
        <w:left w:w="108" w:type="dxa"/>
        <w:bottom w:w="0" w:type="dxa"/>
        <w:right w:w="108" w:type="dxa"/>
      </w:tblCellMar>
      <w:tblLook w:firstRow="0" w:noVBand="1" w:lastRow="0" w:firstColumn="0" w:lastColumn="0" w:noHBand="0" w:val="0400"/>
    </w:tblPr>
    <w:tblGrid>
      <w:gridCol w:w="3520"/>
      <w:gridCol w:w="1158"/>
      <w:gridCol w:w="2988"/>
      <w:gridCol w:w="1171"/>
    </w:tblGrid>
    <w:tr>
      <w:trPr/>
      <w:tc>
        <w:tcPr>
          <w:tcW w:w="3520" w:type="dxa"/>
          <w:tcBorders/>
          <w:shd w:fill="auto" w:val="clear"/>
        </w:tcPr>
        <w:p>
          <w:pPr>
            <w:pStyle w:val="LOnormal1"/>
            <w:tabs>
              <w:tab w:val="clear" w:pos="720"/>
              <w:tab w:val="center" w:pos="4419" w:leader="none"/>
              <w:tab w:val="right" w:pos="8838" w:leader="none"/>
            </w:tabs>
            <w:rPr>
              <w:color w:val="000000"/>
              <w:sz w:val="18"/>
              <w:szCs w:val="18"/>
            </w:rPr>
          </w:pPr>
          <w:r>
            <w:rPr>
              <w:color w:val="000000"/>
              <w:sz w:val="18"/>
              <w:szCs w:val="18"/>
            </w:rPr>
            <w:t>Carrera 8ª No. 9 - 83 Centro</w:t>
          </w:r>
        </w:p>
        <w:p>
          <w:pPr>
            <w:pStyle w:val="LOnormal1"/>
            <w:tabs>
              <w:tab w:val="clear" w:pos="720"/>
              <w:tab w:val="center" w:pos="4419" w:leader="none"/>
              <w:tab w:val="right" w:pos="8838" w:leader="none"/>
            </w:tabs>
            <w:rPr>
              <w:color w:val="000000"/>
              <w:sz w:val="18"/>
              <w:szCs w:val="18"/>
            </w:rPr>
          </w:pPr>
          <w:r>
            <w:rPr>
              <w:color w:val="000000"/>
              <w:sz w:val="18"/>
              <w:szCs w:val="18"/>
            </w:rPr>
            <w:t>Tel. 3274850</w:t>
          </w:r>
        </w:p>
        <w:p>
          <w:pPr>
            <w:pStyle w:val="LOnormal1"/>
            <w:tabs>
              <w:tab w:val="clear" w:pos="720"/>
              <w:tab w:val="center" w:pos="4419" w:leader="none"/>
              <w:tab w:val="right" w:pos="8838" w:leader="none"/>
            </w:tabs>
            <w:rPr>
              <w:color w:val="000000"/>
              <w:sz w:val="18"/>
              <w:szCs w:val="18"/>
            </w:rPr>
          </w:pPr>
          <w:r>
            <w:rPr>
              <w:color w:val="000000"/>
              <w:sz w:val="18"/>
              <w:szCs w:val="18"/>
            </w:rPr>
            <w:t>Código Postal: 111711</w:t>
          </w:r>
        </w:p>
        <w:p>
          <w:pPr>
            <w:pStyle w:val="LOnormal1"/>
            <w:tabs>
              <w:tab w:val="clear" w:pos="720"/>
              <w:tab w:val="center" w:pos="4419" w:leader="none"/>
              <w:tab w:val="right" w:pos="8838" w:leader="none"/>
            </w:tabs>
            <w:rPr/>
          </w:pPr>
          <w:hyperlink r:id="rId1">
            <w:r>
              <w:rPr>
                <w:rStyle w:val="Style"/>
                <w:color w:val="0000FF"/>
                <w:sz w:val="18"/>
                <w:szCs w:val="18"/>
                <w:u w:val="single"/>
              </w:rPr>
              <w:t>www.culturarecreacionydeporte.gov.co</w:t>
            </w:r>
          </w:hyperlink>
        </w:p>
        <w:p>
          <w:pPr>
            <w:pStyle w:val="LOnormal1"/>
            <w:tabs>
              <w:tab w:val="clear" w:pos="720"/>
              <w:tab w:val="center" w:pos="4419" w:leader="none"/>
              <w:tab w:val="right" w:pos="8838" w:leader="none"/>
            </w:tabs>
            <w:rPr>
              <w:color w:val="000000"/>
            </w:rPr>
          </w:pPr>
          <w:r>
            <w:rPr>
              <w:color w:val="000000"/>
              <w:sz w:val="18"/>
              <w:szCs w:val="18"/>
            </w:rPr>
            <w:t>Información: Línea 195</w:t>
          </w:r>
        </w:p>
      </w:tc>
      <w:tc>
        <w:tcPr>
          <w:tcW w:w="1158" w:type="dxa"/>
          <w:tcBorders/>
          <w:shd w:fill="auto" w:val="clear"/>
        </w:tcPr>
        <w:p>
          <w:pPr>
            <w:pStyle w:val="LOnormal1"/>
            <w:rPr>
              <w:sz w:val="18"/>
              <w:szCs w:val="18"/>
            </w:rPr>
          </w:pPr>
          <w:r>
            <w:rPr>
              <w:sz w:val="18"/>
              <w:szCs w:val="18"/>
            </w:rPr>
          </w:r>
        </w:p>
        <w:p>
          <w:pPr>
            <w:pStyle w:val="LOnormal1"/>
            <w:rPr>
              <w:color w:val="595959"/>
              <w:sz w:val="12"/>
              <w:szCs w:val="12"/>
            </w:rPr>
          </w:pPr>
          <w:r>
            <w:rPr>
              <w:color w:val="595959"/>
              <w:sz w:val="12"/>
              <w:szCs w:val="12"/>
            </w:rPr>
            <w:t xml:space="preserve">      </w:t>
          </w:r>
        </w:p>
        <w:p>
          <w:pPr>
            <w:pStyle w:val="LOnormal1"/>
            <w:jc w:val="center"/>
            <w:rPr>
              <w:sz w:val="18"/>
              <w:szCs w:val="18"/>
            </w:rPr>
          </w:pPr>
          <w:r>
            <w:rPr>
              <w:sz w:val="18"/>
              <w:szCs w:val="18"/>
            </w:rPr>
          </w:r>
        </w:p>
      </w:tc>
      <w:tc>
        <w:tcPr>
          <w:tcW w:w="2988" w:type="dxa"/>
          <w:tcBorders/>
          <w:shd w:fill="auto" w:val="clear"/>
        </w:tcPr>
        <w:p>
          <w:pPr>
            <w:pStyle w:val="LOnormal1"/>
            <w:jc w:val="center"/>
            <w:rPr/>
          </w:pPr>
          <w:r>
            <w:rPr>
              <w:rFonts w:eastAsia="Arial" w:cs="Arial" w:ascii="Arial" w:hAnsi="Arial"/>
              <w:color w:val="000000"/>
              <w:sz w:val="14"/>
              <w:szCs w:val="14"/>
            </w:rPr>
            <w:t xml:space="preserve">Página </w:t>
          </w:r>
          <w:r>
            <w:rPr/>
            <w:fldChar w:fldCharType="begin"/>
          </w:r>
          <w:r>
            <w:rPr/>
            <w:instrText> PAGE </w:instrText>
          </w:r>
          <w:r>
            <w:rPr/>
            <w:fldChar w:fldCharType="separate"/>
          </w:r>
          <w:r>
            <w:rPr/>
            <w:t>7</w:t>
          </w:r>
          <w:r>
            <w:rPr/>
            <w:fldChar w:fldCharType="end"/>
          </w:r>
          <w:r>
            <w:rPr>
              <w:rFonts w:eastAsia="Arial" w:cs="Arial" w:ascii="Arial" w:hAnsi="Arial"/>
              <w:color w:val="000000"/>
              <w:sz w:val="14"/>
              <w:szCs w:val="14"/>
            </w:rPr>
            <w:t xml:space="preserve"> de </w:t>
          </w:r>
          <w:r>
            <w:rPr/>
            <w:fldChar w:fldCharType="begin"/>
          </w:r>
          <w:r>
            <w:rPr/>
            <w:instrText> NUMPAGES </w:instrText>
          </w:r>
          <w:r>
            <w:rPr/>
            <w:fldChar w:fldCharType="separate"/>
          </w:r>
          <w:r>
            <w:rPr/>
            <w:t>7</w:t>
          </w:r>
          <w:r>
            <w:rPr/>
            <w:fldChar w:fldCharType="end"/>
          </w:r>
        </w:p>
        <w:p>
          <w:pPr>
            <w:pStyle w:val="LOnormal1"/>
            <w:jc w:val="center"/>
            <w:rPr>
              <w:sz w:val="14"/>
              <w:szCs w:val="14"/>
            </w:rPr>
          </w:pPr>
          <w:r>
            <w:rPr>
              <w:rFonts w:eastAsia="Arial" w:cs="Arial" w:ascii="Arial" w:hAnsi="Arial"/>
              <w:sz w:val="14"/>
              <w:szCs w:val="14"/>
            </w:rPr>
            <w:t>GMC-MN-01-FR-05. V.1. 23/03/2023</w:t>
          </w:r>
        </w:p>
        <w:p>
          <w:pPr>
            <w:pStyle w:val="LOnormal1"/>
            <w:tabs>
              <w:tab w:val="clear" w:pos="720"/>
              <w:tab w:val="left" w:pos="1883" w:leader="none"/>
            </w:tabs>
            <w:rPr>
              <w:sz w:val="14"/>
              <w:szCs w:val="14"/>
            </w:rPr>
          </w:pPr>
          <w:r>
            <w:rPr>
              <w:sz w:val="14"/>
              <w:szCs w:val="14"/>
            </w:rPr>
          </w:r>
        </w:p>
      </w:tc>
      <w:tc>
        <w:tcPr>
          <w:tcW w:w="1171" w:type="dxa"/>
          <w:tcBorders/>
          <w:shd w:fill="auto" w:val="clear"/>
        </w:tcPr>
        <w:p>
          <w:pPr>
            <w:pStyle w:val="LOnormal1"/>
            <w:tabs>
              <w:tab w:val="clear" w:pos="720"/>
              <w:tab w:val="center" w:pos="4419" w:leader="none"/>
              <w:tab w:val="right" w:pos="8838" w:leader="none"/>
            </w:tabs>
            <w:jc w:val="center"/>
            <w:rPr>
              <w:color w:val="000000"/>
            </w:rPr>
          </w:pPr>
          <w:r>
            <w:rPr/>
            <w:drawing>
              <wp:inline distT="0" distB="0" distL="0" distR="0">
                <wp:extent cx="489585" cy="58483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2"/>
                        <a:stretch>
                          <a:fillRect/>
                        </a:stretch>
                      </pic:blipFill>
                      <pic:spPr bwMode="auto">
                        <a:xfrm>
                          <a:off x="0" y="0"/>
                          <a:ext cx="489585" cy="584835"/>
                        </a:xfrm>
                        <a:prstGeom prst="rect">
                          <a:avLst/>
                        </a:prstGeom>
                      </pic:spPr>
                    </pic:pic>
                  </a:graphicData>
                </a:graphic>
              </wp:inline>
            </w:drawing>
          </w:r>
        </w:p>
        <w:p>
          <w:pPr>
            <w:pStyle w:val="LOnormal1"/>
            <w:tabs>
              <w:tab w:val="clear" w:pos="720"/>
              <w:tab w:val="center" w:pos="4419" w:leader="none"/>
              <w:tab w:val="right" w:pos="8838" w:leader="none"/>
            </w:tabs>
            <w:jc w:val="center"/>
            <w:rPr>
              <w:color w:val="000000"/>
              <w:sz w:val="12"/>
              <w:szCs w:val="12"/>
            </w:rPr>
          </w:pPr>
          <w:r>
            <w:rPr>
              <w:color w:val="000000"/>
              <w:sz w:val="12"/>
              <w:szCs w:val="12"/>
            </w:rPr>
            <w:t>ALCALDÍA MAYOR</w:t>
          </w:r>
        </w:p>
        <w:p>
          <w:pPr>
            <w:pStyle w:val="LOnormal1"/>
            <w:tabs>
              <w:tab w:val="clear" w:pos="720"/>
              <w:tab w:val="center" w:pos="4419" w:leader="none"/>
              <w:tab w:val="right" w:pos="8838" w:leader="none"/>
            </w:tabs>
            <w:jc w:val="center"/>
            <w:rPr>
              <w:color w:val="000000"/>
            </w:rPr>
          </w:pPr>
          <w:r>
            <w:rPr>
              <w:color w:val="000000"/>
              <w:sz w:val="12"/>
              <w:szCs w:val="12"/>
            </w:rPr>
            <w:t>DE BOGOTÁ D.C.</w:t>
          </w:r>
        </w:p>
      </w:tc>
    </w:tr>
  </w:tbl>
  <w:p>
    <w:pPr>
      <w:pStyle w:val="LOnormal1"/>
      <w:tabs>
        <w:tab w:val="clear" w:pos="720"/>
        <w:tab w:val="center" w:pos="4419" w:leader="none"/>
        <w:tab w:val="right" w:pos="8838" w:leader="none"/>
      </w:tabs>
      <w:rPr>
        <w:color w:val="000000"/>
        <w:sz w:val="10"/>
        <w:szCs w:val="10"/>
      </w:rPr>
    </w:pPr>
    <w:r>
      <w:rPr>
        <w:color w:val="000000"/>
        <w:sz w:val="10"/>
        <w:szCs w:val="1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widowControl w:val="false"/>
      <w:spacing w:lineRule="auto" w:line="276"/>
      <w:rPr>
        <w:rFonts w:ascii="Arial" w:hAnsi="Arial" w:eastAsia="Arial" w:cs="Arial"/>
        <w:sz w:val="22"/>
        <w:szCs w:val="22"/>
      </w:rPr>
    </w:pPr>
    <w:r>
      <w:rPr>
        <w:rFonts w:eastAsia="Arial" w:cs="Arial" w:ascii="Arial" w:hAnsi="Arial"/>
        <w:sz w:val="22"/>
        <w:szCs w:val="22"/>
      </w:rPr>
    </w:r>
  </w:p>
  <w:tbl>
    <w:tblPr>
      <w:tblW w:w="8838" w:type="dxa"/>
      <w:jc w:val="left"/>
      <w:tblInd w:w="0" w:type="dxa"/>
      <w:tblCellMar>
        <w:top w:w="0" w:type="dxa"/>
        <w:left w:w="108" w:type="dxa"/>
        <w:bottom w:w="0" w:type="dxa"/>
        <w:right w:w="108" w:type="dxa"/>
      </w:tblCellMar>
      <w:tblLook w:firstRow="0" w:noVBand="1" w:lastRow="0" w:firstColumn="0" w:lastColumn="0" w:noHBand="0" w:val="0400"/>
    </w:tblPr>
    <w:tblGrid>
      <w:gridCol w:w="1556"/>
      <w:gridCol w:w="4542"/>
      <w:gridCol w:w="2740"/>
    </w:tblGrid>
    <w:tr>
      <w:trPr/>
      <w:tc>
        <w:tcPr>
          <w:tcW w:w="1556" w:type="dxa"/>
          <w:tcBorders/>
          <w:shd w:fill="auto" w:val="clear"/>
          <w:vAlign w:val="center"/>
        </w:tcPr>
        <w:p>
          <w:pPr>
            <w:pStyle w:val="LOnormal1"/>
            <w:tabs>
              <w:tab w:val="clear" w:pos="720"/>
              <w:tab w:val="center" w:pos="4419" w:leader="none"/>
              <w:tab w:val="right" w:pos="8838" w:leader="none"/>
            </w:tabs>
            <w:jc w:val="center"/>
            <w:rPr>
              <w:color w:val="000000"/>
            </w:rPr>
          </w:pPr>
          <w:r>
            <w:rPr>
              <w:color w:val="000000"/>
            </w:rPr>
          </w:r>
        </w:p>
      </w:tc>
      <w:tc>
        <w:tcPr>
          <w:tcW w:w="4542" w:type="dxa"/>
          <w:tcBorders/>
          <w:shd w:fill="auto" w:val="clear"/>
          <w:vAlign w:val="center"/>
        </w:tcPr>
        <w:p>
          <w:pPr>
            <w:pStyle w:val="LOnormal1"/>
            <w:tabs>
              <w:tab w:val="clear" w:pos="720"/>
              <w:tab w:val="center" w:pos="4419" w:leader="none"/>
              <w:tab w:val="right" w:pos="8838" w:leader="none"/>
            </w:tabs>
            <w:jc w:val="right"/>
            <w:rPr>
              <w:color w:val="000000"/>
            </w:rPr>
          </w:pPr>
          <w:r>
            <w:rPr/>
            <w:drawing>
              <wp:inline distT="0" distB="0" distL="0" distR="0">
                <wp:extent cx="2677160" cy="61531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2677160" cy="615315"/>
                        </a:xfrm>
                        <a:prstGeom prst="rect">
                          <a:avLst/>
                        </a:prstGeom>
                      </pic:spPr>
                    </pic:pic>
                  </a:graphicData>
                </a:graphic>
              </wp:inline>
            </w:drawing>
          </w:r>
        </w:p>
      </w:tc>
      <w:tc>
        <w:tcPr>
          <w:tcW w:w="2740" w:type="dxa"/>
          <w:tcBorders/>
          <w:shd w:fill="auto" w:val="clear"/>
          <w:vAlign w:val="center"/>
        </w:tcPr>
        <w:p>
          <w:pPr>
            <w:pStyle w:val="LOnormal1"/>
            <w:tabs>
              <w:tab w:val="clear" w:pos="720"/>
              <w:tab w:val="left" w:pos="1485" w:leader="none"/>
            </w:tabs>
            <w:jc w:val="right"/>
            <w:rPr>
              <w:rFonts w:ascii="Code3of9" w:hAnsi="Code3of9" w:eastAsia="Code3of9" w:cs="Code3of9"/>
              <w:sz w:val="26"/>
              <w:szCs w:val="26"/>
            </w:rPr>
          </w:pPr>
          <w:r>
            <w:rPr>
              <w:rFonts w:eastAsia="Code3of9" w:cs="Code3of9" w:ascii="Code3of9" w:hAnsi="Code3of9"/>
              <w:sz w:val="26"/>
              <w:szCs w:val="26"/>
            </w:rPr>
            <w:t>*RAD_S*</w:t>
          </w:r>
        </w:p>
        <w:p>
          <w:pPr>
            <w:pStyle w:val="LOnormal1"/>
            <w:tabs>
              <w:tab w:val="clear" w:pos="720"/>
              <w:tab w:val="left" w:pos="1485" w:leader="none"/>
            </w:tabs>
            <w:jc w:val="right"/>
            <w:rPr>
              <w:rFonts w:ascii="Arial" w:hAnsi="Arial" w:eastAsia="Arial" w:cs="Arial"/>
              <w:b/>
              <w:b/>
              <w:bCs/>
            </w:rPr>
          </w:pPr>
          <w:r>
            <w:rPr>
              <w:rFonts w:eastAsia="Arial" w:cs="Arial" w:ascii="Arial" w:hAnsi="Arial"/>
              <w:sz w:val="14"/>
              <w:szCs w:val="14"/>
            </w:rPr>
            <w:t xml:space="preserve">Radicado: </w:t>
          </w:r>
          <w:r>
            <w:rPr>
              <w:rFonts w:eastAsia="Arial" w:cs="Arial" w:ascii="Arial" w:hAnsi="Arial"/>
              <w:b/>
              <w:bCs/>
            </w:rPr>
            <w:t>RAD_S</w:t>
          </w:r>
        </w:p>
        <w:p>
          <w:pPr>
            <w:pStyle w:val="LOnormal1"/>
            <w:tabs>
              <w:tab w:val="clear" w:pos="720"/>
              <w:tab w:val="left" w:pos="1485" w:leader="none"/>
            </w:tabs>
            <w:jc w:val="right"/>
            <w:rPr>
              <w:rFonts w:ascii="Arial" w:hAnsi="Arial" w:eastAsia="Arial" w:cs="Arial"/>
            </w:rPr>
          </w:pPr>
          <w:r>
            <w:rPr>
              <w:rFonts w:eastAsia="Arial" w:cs="Arial" w:ascii="Arial" w:hAnsi="Arial"/>
              <w:sz w:val="14"/>
              <w:szCs w:val="14"/>
            </w:rPr>
            <w:t xml:space="preserve">Fecha: </w:t>
          </w:r>
          <w:r>
            <w:rPr>
              <w:rFonts w:eastAsia="Arial" w:cs="Arial" w:ascii="Arial" w:hAnsi="Arial"/>
            </w:rPr>
            <w:t>F_RAD_S</w:t>
          </w:r>
        </w:p>
      </w:tc>
    </w:tr>
    <w:tr>
      <w:trPr>
        <w:trHeight w:val="2095" w:hRule="atLeast"/>
      </w:trPr>
      <w:tc>
        <w:tcPr>
          <w:tcW w:w="8838" w:type="dxa"/>
          <w:gridSpan w:val="3"/>
          <w:tcBorders/>
          <w:shd w:fill="auto" w:val="clear"/>
          <w:vAlign w:val="center"/>
        </w:tcPr>
        <w:p>
          <w:pPr>
            <w:pStyle w:val="LOnormal1"/>
            <w:tabs>
              <w:tab w:val="clear" w:pos="720"/>
              <w:tab w:val="center" w:pos="4419" w:leader="none"/>
              <w:tab w:val="right" w:pos="8838" w:leader="none"/>
            </w:tabs>
            <w:jc w:val="center"/>
            <w:rPr>
              <w:rFonts w:ascii="Arial" w:hAnsi="Arial" w:eastAsia="Arial" w:cs="Arial"/>
              <w:b/>
              <w:b/>
              <w:bCs/>
              <w:color w:val="000000"/>
            </w:rPr>
          </w:pPr>
          <w:r>
            <w:rPr>
              <w:rFonts w:eastAsia="Arial" w:cs="Arial" w:ascii="Arial" w:hAnsi="Arial"/>
              <w:b/>
              <w:bCs/>
              <w:color w:val="000000"/>
            </w:rPr>
            <w:t xml:space="preserve">  </w:t>
          </w:r>
          <w:r>
            <w:rPr>
              <w:rFonts w:eastAsia="Arial" w:cs="Arial" w:ascii="Arial" w:hAnsi="Arial"/>
              <w:b/>
              <w:bCs/>
              <w:color w:val="000000"/>
            </w:rPr>
            <w:t>RESOLUCIÓN No. XXX de 20XX</w:t>
          </w:r>
        </w:p>
        <w:p>
          <w:pPr>
            <w:pStyle w:val="LOnormal1"/>
            <w:tabs>
              <w:tab w:val="clear" w:pos="720"/>
              <w:tab w:val="left" w:pos="1485" w:leader="none"/>
            </w:tabs>
            <w:jc w:val="right"/>
            <w:rPr>
              <w:rFonts w:ascii="Code3of9" w:hAnsi="Code3of9" w:eastAsia="Code3of9" w:cs="Code3of9"/>
              <w:sz w:val="28"/>
              <w:szCs w:val="28"/>
            </w:rPr>
          </w:pPr>
          <w:r>
            <w:rPr>
              <w:rFonts w:eastAsia="Code3of9" w:cs="Code3of9" w:ascii="Code3of9" w:hAnsi="Code3of9"/>
              <w:sz w:val="28"/>
              <w:szCs w:val="28"/>
            </w:rPr>
          </w:r>
        </w:p>
        <w:p>
          <w:pPr>
            <w:pStyle w:val="LOnormal1"/>
            <w:tabs>
              <w:tab w:val="clear" w:pos="720"/>
              <w:tab w:val="left" w:pos="2135" w:leader="none"/>
            </w:tabs>
            <w:jc w:val="center"/>
            <w:rPr>
              <w:rFonts w:ascii="Arial" w:hAnsi="Arial" w:eastAsia="Arial" w:cs="Arial"/>
              <w:b/>
              <w:b/>
              <w:bCs/>
              <w:sz w:val="22"/>
              <w:szCs w:val="22"/>
            </w:rPr>
          </w:pPr>
          <w:r>
            <w:rPr>
              <w:rFonts w:eastAsia="Arial" w:cs="Arial" w:ascii="Arial" w:hAnsi="Arial"/>
              <w:b/>
              <w:bCs/>
              <w:i/>
              <w:iCs/>
              <w:sz w:val="22"/>
              <w:szCs w:val="22"/>
            </w:rPr>
            <w:t>¨</w:t>
          </w:r>
          <w:bookmarkStart w:id="0" w:name="__DdeLink__6031_2888894263"/>
          <w:r>
            <w:rPr>
              <w:rFonts w:eastAsia="Arial" w:cs="Arial" w:ascii="Arial" w:hAnsi="Arial"/>
              <w:b/>
              <w:bCs/>
              <w:i/>
              <w:iCs/>
              <w:sz w:val="22"/>
              <w:szCs w:val="22"/>
            </w:rPr>
            <w:t xml:space="preserve">Por medio del cual se determina e implementa la zona y el plan de manejo de la Calle 11 entre Carreras 5 y 7, para el desarrollo de la actividad de aprovechamiento económico </w:t>
          </w:r>
        </w:p>
        <w:p>
          <w:pPr>
            <w:pStyle w:val="LOnormal1"/>
            <w:tabs>
              <w:tab w:val="clear" w:pos="720"/>
              <w:tab w:val="left" w:pos="2135" w:leader="none"/>
            </w:tabs>
            <w:jc w:val="center"/>
            <w:rPr>
              <w:rFonts w:ascii="Arial" w:hAnsi="Arial" w:eastAsia="Arial" w:cs="Arial"/>
              <w:b/>
              <w:b/>
              <w:bCs/>
              <w:i/>
              <w:i/>
              <w:iCs/>
              <w:sz w:val="22"/>
              <w:szCs w:val="22"/>
            </w:rPr>
          </w:pPr>
          <w:r>
            <w:rPr>
              <w:rFonts w:eastAsia="Arial" w:cs="Arial" w:ascii="Arial" w:hAnsi="Arial"/>
              <w:b/>
              <w:bCs/>
              <w:i/>
              <w:iCs/>
              <w:sz w:val="22"/>
              <w:szCs w:val="22"/>
            </w:rPr>
            <w:t>denominada ¨Hacedores de Oficios Artesanales en el Espacio Público¨</w:t>
          </w:r>
          <w:bookmarkEnd w:id="0"/>
        </w:p>
        <w:p>
          <w:pPr>
            <w:pStyle w:val="LOnormal1"/>
            <w:tabs>
              <w:tab w:val="clear" w:pos="720"/>
              <w:tab w:val="left" w:pos="1485" w:leader="none"/>
            </w:tabs>
            <w:jc w:val="right"/>
            <w:rPr>
              <w:rFonts w:ascii="Code3of9" w:hAnsi="Code3of9" w:eastAsia="Code3of9" w:cs="Code3of9"/>
              <w:sz w:val="28"/>
              <w:szCs w:val="28"/>
            </w:rPr>
          </w:pPr>
          <w:r>
            <w:rPr>
              <w:rFonts w:eastAsia="Code3of9" w:cs="Code3of9" w:ascii="Code3of9" w:hAnsi="Code3of9"/>
              <w:sz w:val="28"/>
              <w:szCs w:val="28"/>
            </w:rPr>
          </w:r>
        </w:p>
      </w:tc>
    </w:tr>
  </w:tbl>
  <w:p>
    <w:pPr>
      <w:pStyle w:val="LOnormal1"/>
      <w:tabs>
        <w:tab w:val="clear" w:pos="720"/>
        <w:tab w:val="center" w:pos="4419" w:leader="none"/>
        <w:tab w:val="right" w:pos="8838" w:leader="none"/>
      </w:tabs>
      <w:jc w:val="center"/>
      <w:rPr>
        <w:rFonts w:ascii="Arial" w:hAnsi="Arial" w:eastAsia="Arial" w:cs="Arial"/>
        <w:color w:val="000000"/>
        <w:sz w:val="8"/>
        <w:szCs w:val="8"/>
      </w:rPr>
    </w:pPr>
    <w:r>
      <w:rPr>
        <w:rFonts w:eastAsia="Arial" w:cs="Arial" w:ascii="Arial" w:hAnsi="Arial"/>
        <w:color w:val="000000"/>
        <w:sz w:val="8"/>
        <w:szCs w:val="8"/>
      </w:rPr>
    </w:r>
  </w:p>
</w:hdr>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s-CO"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Calibri"/>
      <w:color w:val="auto"/>
      <w:kern w:val="0"/>
      <w:sz w:val="24"/>
      <w:szCs w:val="24"/>
      <w:lang w:val="es-CO" w:eastAsia="zh-CN" w:bidi="hi-IN"/>
    </w:rPr>
  </w:style>
  <w:style w:type="paragraph" w:styleId="Ttulo1">
    <w:name w:val="Heading 1"/>
    <w:basedOn w:val="LOnormal1"/>
    <w:next w:val="LOnormal1"/>
    <w:uiPriority w:val="9"/>
    <w:qFormat/>
    <w:pPr>
      <w:keepNext w:val="true"/>
      <w:keepLines/>
      <w:spacing w:before="480" w:after="120"/>
      <w:outlineLvl w:val="0"/>
    </w:pPr>
    <w:rPr>
      <w:b/>
      <w:bCs/>
      <w:sz w:val="48"/>
      <w:szCs w:val="48"/>
    </w:rPr>
  </w:style>
  <w:style w:type="paragraph" w:styleId="Ttulo2">
    <w:name w:val="Heading 2"/>
    <w:basedOn w:val="LOnormal1"/>
    <w:next w:val="LOnormal1"/>
    <w:uiPriority w:val="9"/>
    <w:semiHidden/>
    <w:unhideWhenUsed/>
    <w:qFormat/>
    <w:pPr>
      <w:keepNext w:val="true"/>
      <w:keepLines/>
      <w:spacing w:before="360" w:after="80"/>
      <w:outlineLvl w:val="1"/>
    </w:pPr>
    <w:rPr>
      <w:b/>
      <w:bCs/>
      <w:sz w:val="36"/>
      <w:szCs w:val="36"/>
    </w:rPr>
  </w:style>
  <w:style w:type="paragraph" w:styleId="Ttulo3">
    <w:name w:val="Heading 3"/>
    <w:basedOn w:val="LOnormal1"/>
    <w:next w:val="LOnormal1"/>
    <w:uiPriority w:val="9"/>
    <w:semiHidden/>
    <w:unhideWhenUsed/>
    <w:qFormat/>
    <w:pPr>
      <w:keepNext w:val="true"/>
      <w:keepLines/>
      <w:spacing w:before="280" w:after="80"/>
      <w:outlineLvl w:val="2"/>
    </w:pPr>
    <w:rPr>
      <w:b/>
      <w:bCs/>
      <w:sz w:val="28"/>
      <w:szCs w:val="28"/>
    </w:rPr>
  </w:style>
  <w:style w:type="paragraph" w:styleId="Ttulo4">
    <w:name w:val="Heading 4"/>
    <w:basedOn w:val="LOnormal1"/>
    <w:next w:val="LOnormal1"/>
    <w:uiPriority w:val="9"/>
    <w:semiHidden/>
    <w:unhideWhenUsed/>
    <w:qFormat/>
    <w:pPr>
      <w:keepNext w:val="true"/>
      <w:keepLines/>
      <w:spacing w:before="240" w:after="40"/>
      <w:outlineLvl w:val="3"/>
    </w:pPr>
    <w:rPr>
      <w:b/>
      <w:bCs/>
    </w:rPr>
  </w:style>
  <w:style w:type="paragraph" w:styleId="Ttulo5">
    <w:name w:val="Heading 5"/>
    <w:basedOn w:val="LOnormal1"/>
    <w:next w:val="LOnormal1"/>
    <w:uiPriority w:val="9"/>
    <w:semiHidden/>
    <w:unhideWhenUsed/>
    <w:qFormat/>
    <w:pPr>
      <w:keepNext w:val="true"/>
      <w:keepLines/>
      <w:spacing w:before="220" w:after="40"/>
      <w:outlineLvl w:val="4"/>
    </w:pPr>
    <w:rPr>
      <w:b/>
      <w:bCs/>
      <w:sz w:val="22"/>
      <w:szCs w:val="22"/>
    </w:rPr>
  </w:style>
  <w:style w:type="paragraph" w:styleId="Ttulo6">
    <w:name w:val="Heading 6"/>
    <w:basedOn w:val="LOnormal1"/>
    <w:next w:val="LOnormal1"/>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834d5b"/>
    <w:rPr/>
  </w:style>
  <w:style w:type="character" w:styleId="PiedepginaCar" w:customStyle="1">
    <w:name w:val="Pie de página Car"/>
    <w:basedOn w:val="DefaultParagraphFont"/>
    <w:link w:val="Piedepgina"/>
    <w:uiPriority w:val="99"/>
    <w:qFormat/>
    <w:rsid w:val="00834d5b"/>
    <w:rPr/>
  </w:style>
  <w:style w:type="character" w:styleId="EnlacedeInternet" w:customStyle="1">
    <w:name w:val="Enlace de Internet"/>
    <w:basedOn w:val="DefaultParagraphFont"/>
    <w:uiPriority w:val="99"/>
    <w:unhideWhenUsed/>
    <w:rsid w:val="0085196f"/>
    <w:rPr>
      <w:color w:val="0000FF" w:themeColor="hyperlink"/>
      <w:u w:val="single"/>
    </w:rPr>
  </w:style>
  <w:style w:type="character" w:styleId="FollowedHyperlink">
    <w:name w:val="FollowedHyperlink"/>
    <w:basedOn w:val="DefaultParagraphFont"/>
    <w:uiPriority w:val="99"/>
    <w:semiHidden/>
    <w:unhideWhenUsed/>
    <w:qFormat/>
    <w:rsid w:val="0085196f"/>
    <w:rPr>
      <w:color w:val="800080" w:themeColor="followedHyperlink"/>
      <w:u w:val="single"/>
    </w:rPr>
  </w:style>
  <w:style w:type="character" w:styleId="TextocomentarioCar" w:customStyle="1">
    <w:name w:val="Texto comentario Car"/>
    <w:basedOn w:val="DefaultParagraphFont"/>
    <w:link w:val="Textocomentario"/>
    <w:uiPriority w:val="99"/>
    <w:semiHidden/>
    <w:qFormat/>
    <w:rPr>
      <w:rFonts w:cs="Mangal"/>
      <w:sz w:val="20"/>
      <w:szCs w:val="18"/>
    </w:rPr>
  </w:style>
  <w:style w:type="character" w:styleId="Annotationreference">
    <w:name w:val="annotation reference"/>
    <w:basedOn w:val="DefaultParagraphFont"/>
    <w:uiPriority w:val="99"/>
    <w:semiHidden/>
    <w:unhideWhenUsed/>
    <w:qFormat/>
    <w:rPr>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itular">
    <w:name w:val="Title"/>
    <w:basedOn w:val="LOnormal1"/>
    <w:next w:val="Cuerpodetexto"/>
    <w:uiPriority w:val="10"/>
    <w:qFormat/>
    <w:pPr>
      <w:keepNext w:val="true"/>
      <w:keepLines/>
      <w:spacing w:before="480" w:after="120"/>
    </w:pPr>
    <w:rPr>
      <w:b/>
      <w:bCs/>
      <w:sz w:val="72"/>
      <w:szCs w:val="72"/>
    </w:rPr>
  </w:style>
  <w:style w:type="paragraph" w:styleId="Caption">
    <w:name w:val="caption"/>
    <w:basedOn w:val="Normal"/>
    <w:qFormat/>
    <w:pPr>
      <w:suppressLineNumbers/>
      <w:spacing w:before="120" w:after="120"/>
    </w:pPr>
    <w:rPr>
      <w:rFonts w:cs="Lucida Sans"/>
      <w:i/>
      <w:iCs/>
    </w:rPr>
  </w:style>
  <w:style w:type="paragraph" w:styleId="LOnormal1" w:customStyle="1">
    <w:name w:val="LO-normal1"/>
    <w:qFormat/>
    <w:pPr>
      <w:widowControl/>
      <w:bidi w:val="0"/>
      <w:spacing w:before="0" w:after="0"/>
      <w:jc w:val="left"/>
    </w:pPr>
    <w:rPr>
      <w:rFonts w:ascii="Calibri" w:hAnsi="Calibri" w:eastAsia="Calibri" w:cs="Calibri"/>
      <w:color w:val="auto"/>
      <w:kern w:val="0"/>
      <w:sz w:val="24"/>
      <w:szCs w:val="24"/>
      <w:lang w:val="es-CO" w:eastAsia="zh-CN" w:bidi="hi-IN"/>
    </w:rPr>
  </w:style>
  <w:style w:type="paragraph" w:styleId="Cabeceraypie" w:customStyle="1">
    <w:name w:val="Cabecera y pie"/>
    <w:basedOn w:val="Normal"/>
    <w:qFormat/>
    <w:pPr/>
    <w:rPr/>
  </w:style>
  <w:style w:type="paragraph" w:styleId="Cabecera">
    <w:name w:val="Header"/>
    <w:basedOn w:val="LOnormal1"/>
    <w:link w:val="EncabezadoCar"/>
    <w:unhideWhenUsed/>
    <w:qFormat/>
    <w:rsid w:val="00834d5b"/>
    <w:pPr>
      <w:tabs>
        <w:tab w:val="clear" w:pos="720"/>
        <w:tab w:val="center" w:pos="4419" w:leader="none"/>
        <w:tab w:val="right" w:pos="8838" w:leader="none"/>
      </w:tabs>
    </w:pPr>
    <w:rPr/>
  </w:style>
  <w:style w:type="paragraph" w:styleId="Piedepgina">
    <w:name w:val="Footer"/>
    <w:basedOn w:val="LOnormal1"/>
    <w:link w:val="PiedepginaCar"/>
    <w:uiPriority w:val="99"/>
    <w:unhideWhenUsed/>
    <w:rsid w:val="00834d5b"/>
    <w:pPr>
      <w:tabs>
        <w:tab w:val="clear" w:pos="720"/>
        <w:tab w:val="center" w:pos="4419" w:leader="none"/>
        <w:tab w:val="right" w:pos="8838" w:leader="none"/>
      </w:tabs>
    </w:pPr>
    <w:rPr/>
  </w:style>
  <w:style w:type="paragraph" w:styleId="Subttulo">
    <w:name w:val="Subtitle"/>
    <w:basedOn w:val="LOnormal1"/>
    <w:next w:val="LOnormal1"/>
    <w:uiPriority w:val="11"/>
    <w:qFormat/>
    <w:pPr>
      <w:keepNext w:val="true"/>
      <w:keepLines/>
      <w:spacing w:before="360" w:after="80"/>
    </w:pPr>
    <w:rPr>
      <w:rFonts w:ascii="Georgia" w:hAnsi="Georgia" w:eastAsia="Georgia" w:cs="Georgia"/>
      <w:i/>
      <w:iCs/>
      <w:color w:val="666666"/>
      <w:sz w:val="48"/>
      <w:szCs w:val="48"/>
    </w:rPr>
  </w:style>
  <w:style w:type="paragraph" w:styleId="LOnormal" w:customStyle="1">
    <w:name w:val="LO-normal"/>
    <w:qFormat/>
    <w:pPr>
      <w:widowControl/>
      <w:bidi w:val="0"/>
      <w:spacing w:before="0" w:after="0"/>
      <w:jc w:val="left"/>
    </w:pPr>
    <w:rPr>
      <w:rFonts w:ascii="Calibri" w:hAnsi="Calibri" w:eastAsia="Calibri" w:cs="Calibri"/>
      <w:color w:val="auto"/>
      <w:kern w:val="0"/>
      <w:sz w:val="24"/>
      <w:szCs w:val="24"/>
      <w:lang w:val="es-CO" w:eastAsia="zh-CN" w:bidi="hi-IN"/>
    </w:rPr>
  </w:style>
  <w:style w:type="paragraph" w:styleId="Annotationtext">
    <w:name w:val="annotation text"/>
    <w:basedOn w:val="Normal"/>
    <w:link w:val="TextocomentarioCar"/>
    <w:uiPriority w:val="99"/>
    <w:semiHidden/>
    <w:unhideWhenUsed/>
    <w:qFormat/>
    <w:pPr/>
    <w:rPr>
      <w:rFonts w:cs="Mangal"/>
      <w:sz w:val="20"/>
      <w:szCs w:val="18"/>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styleId="Tablaconcuadrcula">
    <w:name w:val="Table Grid"/>
    <w:basedOn w:val="Tablanormal"/>
    <w:uiPriority w:val="39"/>
    <w:rsid w:val="0085196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ev-nuevo-ecosistema-cultural.scrd.gov.co/public/home" TargetMode="External"/><Relationship Id="rId3" Type="http://schemas.openxmlformats.org/officeDocument/2006/relationships/hyperlink" Target="mailto:correspondencia@idu.gov.co"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footer1.xml.rels><?xml version="1.0" encoding="UTF-8"?>
<Relationships xmlns="http://schemas.openxmlformats.org/package/2006/relationships"><Relationship Id="rId1" Type="http://schemas.openxmlformats.org/officeDocument/2006/relationships/hyperlink" Target="http://www.culturarecreacionydeporte.gov.co/" TargetMode="External"/><Relationship Id="rId2"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vWocRMowxjzOsIJnrEeVRyg1xrg==">CgMxLjAaHwoBMBIaChgICVIUChJ0YWJsZS4zNGh1MGJ6M2FlOW84AHIhMTItbEo4Q3BSSmtMWEhNMmpSNE0yMFlhWW1pWjMtX09r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LibreOffice/6.3.6.2$Windows_X86_64 LibreOffice_project/2196df99b074d8a661f4036fca8fa0cbfa33a497</Application>
  <Pages>7</Pages>
  <Words>1742</Words>
  <Characters>9587</Characters>
  <CharactersWithSpaces>11307</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2026-03-06T14:49:00Z</dcterms:created>
  <dc:creator>Gestión de Mejora Contínua</dc:creator>
  <dc:description/>
  <dc:language>es-CO</dc:language>
  <cp:lastModifiedBy>Lia Cabarcas</cp:lastModifiedBy>
  <dcterms:modified xsi:type="dcterms:W3CDTF">2026-03-06T15:44:00Z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